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61" w:rsidRDefault="000D2461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профессиональное образовательное учреждение</w:t>
      </w:r>
    </w:p>
    <w:p w:rsidR="003F26D3" w:rsidRDefault="00B16DBA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D2461">
        <w:rPr>
          <w:color w:val="000000"/>
          <w:sz w:val="20"/>
          <w:szCs w:val="20"/>
        </w:rPr>
        <w:t>«</w:t>
      </w:r>
      <w:proofErr w:type="spellStart"/>
      <w:r w:rsidR="003F26D3">
        <w:rPr>
          <w:color w:val="000000"/>
          <w:sz w:val="20"/>
          <w:szCs w:val="20"/>
        </w:rPr>
        <w:t>Осинниковский</w:t>
      </w:r>
      <w:proofErr w:type="spellEnd"/>
      <w:r w:rsidR="003F26D3">
        <w:rPr>
          <w:color w:val="000000"/>
          <w:sz w:val="20"/>
          <w:szCs w:val="20"/>
        </w:rPr>
        <w:t xml:space="preserve"> горнотехнический колледж</w:t>
      </w:r>
      <w:r w:rsidR="000D2461">
        <w:rPr>
          <w:color w:val="000000"/>
          <w:sz w:val="20"/>
          <w:szCs w:val="20"/>
        </w:rPr>
        <w:t>»</w:t>
      </w: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Pr="00B16DBA" w:rsidRDefault="00083D4B" w:rsidP="00C41E45">
      <w:pPr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</w:t>
      </w:r>
      <w:r w:rsidR="007B6C39">
        <w:rPr>
          <w:b/>
          <w:color w:val="000000"/>
          <w:sz w:val="26"/>
          <w:szCs w:val="26"/>
        </w:rPr>
        <w:t>МДК 01.02</w:t>
      </w:r>
      <w:r>
        <w:rPr>
          <w:b/>
          <w:color w:val="000000"/>
          <w:sz w:val="26"/>
          <w:szCs w:val="26"/>
        </w:rPr>
        <w:t xml:space="preserve"> «</w:t>
      </w:r>
      <w:r w:rsidR="007B6C39">
        <w:rPr>
          <w:b/>
          <w:color w:val="000000"/>
          <w:sz w:val="26"/>
          <w:szCs w:val="26"/>
        </w:rPr>
        <w:t>Технологический процесс обогащения полезных ископаемых</w:t>
      </w:r>
      <w:r>
        <w:rPr>
          <w:b/>
          <w:color w:val="000000"/>
          <w:sz w:val="26"/>
          <w:szCs w:val="26"/>
        </w:rPr>
        <w:t>»</w:t>
      </w:r>
    </w:p>
    <w:p w:rsidR="003F26D3" w:rsidRDefault="003F26D3" w:rsidP="00C41E45">
      <w:pPr>
        <w:ind w:firstLine="567"/>
        <w:jc w:val="center"/>
        <w:rPr>
          <w:b/>
          <w:color w:val="000000"/>
          <w:sz w:val="32"/>
          <w:szCs w:val="32"/>
        </w:rPr>
      </w:pPr>
    </w:p>
    <w:p w:rsidR="003F26D3" w:rsidRPr="00B16DBA" w:rsidRDefault="003F26D3" w:rsidP="00C41E45">
      <w:pPr>
        <w:ind w:firstLine="567"/>
        <w:jc w:val="center"/>
        <w:rPr>
          <w:b/>
          <w:color w:val="000000"/>
          <w:sz w:val="22"/>
        </w:rPr>
      </w:pPr>
      <w:r w:rsidRPr="00B16DBA">
        <w:rPr>
          <w:b/>
          <w:color w:val="000000"/>
          <w:sz w:val="22"/>
        </w:rPr>
        <w:t xml:space="preserve">Методические </w:t>
      </w:r>
      <w:r w:rsidR="005F31E1" w:rsidRPr="00B16DBA">
        <w:rPr>
          <w:b/>
          <w:color w:val="000000"/>
          <w:sz w:val="22"/>
        </w:rPr>
        <w:t>указания к выполнению</w:t>
      </w:r>
      <w:r w:rsidR="000D2461">
        <w:rPr>
          <w:b/>
          <w:color w:val="000000"/>
          <w:sz w:val="22"/>
        </w:rPr>
        <w:t xml:space="preserve"> контрольной работы</w:t>
      </w:r>
    </w:p>
    <w:p w:rsidR="003F26D3" w:rsidRPr="00B16DBA" w:rsidRDefault="003F26D3" w:rsidP="00C41E45">
      <w:pPr>
        <w:ind w:firstLine="567"/>
        <w:jc w:val="center"/>
        <w:rPr>
          <w:color w:val="000000"/>
          <w:sz w:val="18"/>
          <w:szCs w:val="20"/>
        </w:rPr>
      </w:pPr>
      <w:r w:rsidRPr="00B16DBA">
        <w:rPr>
          <w:b/>
          <w:color w:val="000000"/>
          <w:sz w:val="22"/>
        </w:rPr>
        <w:t>для студентов-заочников</w:t>
      </w:r>
    </w:p>
    <w:p w:rsidR="003F26D3" w:rsidRDefault="003F26D3" w:rsidP="00C41E45">
      <w:pPr>
        <w:ind w:firstLine="567"/>
        <w:jc w:val="center"/>
        <w:rPr>
          <w:b/>
          <w:color w:val="000000"/>
        </w:rPr>
      </w:pPr>
    </w:p>
    <w:p w:rsidR="003F26D3" w:rsidRPr="00C41E45" w:rsidRDefault="003F26D3" w:rsidP="00C41E45">
      <w:pPr>
        <w:ind w:left="1276" w:hanging="709"/>
        <w:jc w:val="center"/>
        <w:rPr>
          <w:color w:val="000000"/>
          <w:sz w:val="20"/>
          <w:szCs w:val="20"/>
        </w:rPr>
      </w:pPr>
      <w:r w:rsidRPr="00C41E45">
        <w:rPr>
          <w:color w:val="000000"/>
          <w:sz w:val="20"/>
          <w:szCs w:val="20"/>
        </w:rPr>
        <w:t>по специальност</w:t>
      </w:r>
      <w:r w:rsidR="00B23546">
        <w:rPr>
          <w:color w:val="000000"/>
          <w:sz w:val="20"/>
          <w:szCs w:val="20"/>
        </w:rPr>
        <w:t>и</w:t>
      </w:r>
      <w:r w:rsidRPr="00C41E45">
        <w:rPr>
          <w:color w:val="000000"/>
          <w:sz w:val="20"/>
          <w:szCs w:val="20"/>
        </w:rPr>
        <w:t>:</w:t>
      </w:r>
    </w:p>
    <w:p w:rsidR="003F26D3" w:rsidRPr="00C41E45" w:rsidRDefault="003F26D3" w:rsidP="00C41E45">
      <w:pPr>
        <w:ind w:left="1276" w:hanging="709"/>
        <w:jc w:val="center"/>
        <w:rPr>
          <w:b/>
          <w:color w:val="000000"/>
          <w:sz w:val="20"/>
          <w:szCs w:val="20"/>
        </w:rPr>
      </w:pPr>
    </w:p>
    <w:p w:rsidR="00925341" w:rsidRPr="00C41E45" w:rsidRDefault="00925341" w:rsidP="00C41E45">
      <w:pPr>
        <w:ind w:left="1276" w:hanging="709"/>
        <w:jc w:val="both"/>
        <w:rPr>
          <w:color w:val="000000"/>
          <w:sz w:val="20"/>
          <w:szCs w:val="20"/>
        </w:rPr>
      </w:pPr>
      <w:r w:rsidRPr="00925341">
        <w:rPr>
          <w:color w:val="000000"/>
          <w:sz w:val="20"/>
          <w:szCs w:val="20"/>
        </w:rPr>
        <w:t>21.02.18 Обогащение полезных ископаемых</w:t>
      </w:r>
    </w:p>
    <w:p w:rsidR="003F26D3" w:rsidRPr="00C41E45" w:rsidRDefault="003F26D3" w:rsidP="00C41E45">
      <w:pPr>
        <w:ind w:left="1276" w:hanging="709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b/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925341">
      <w:pPr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5F31E1" w:rsidRDefault="005F31E1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</w:t>
      </w:r>
      <w:r w:rsidR="00083D4B">
        <w:rPr>
          <w:color w:val="000000"/>
          <w:sz w:val="20"/>
          <w:szCs w:val="20"/>
        </w:rPr>
        <w:t>24</w:t>
      </w:r>
    </w:p>
    <w:p w:rsidR="00083D4B" w:rsidRPr="00B16DBA" w:rsidRDefault="003F26D3" w:rsidP="00083D4B">
      <w:pPr>
        <w:ind w:firstLine="567"/>
        <w:rPr>
          <w:b/>
          <w:color w:val="000000"/>
          <w:sz w:val="26"/>
          <w:szCs w:val="26"/>
        </w:rPr>
      </w:pPr>
      <w:r>
        <w:rPr>
          <w:sz w:val="20"/>
          <w:szCs w:val="20"/>
        </w:rPr>
        <w:lastRenderedPageBreak/>
        <w:t xml:space="preserve"> Методические указания составлены в соответствии с рабочей программой по </w:t>
      </w:r>
      <w:r w:rsidR="007B6C39" w:rsidRPr="007B6C39">
        <w:rPr>
          <w:color w:val="000000"/>
          <w:sz w:val="20"/>
          <w:szCs w:val="26"/>
        </w:rPr>
        <w:t>МДК 01.02 «Технологический процесс обогащения полезных ископаемых»</w:t>
      </w:r>
    </w:p>
    <w:p w:rsidR="003F26D3" w:rsidRDefault="003F26D3" w:rsidP="00B23546">
      <w:pPr>
        <w:ind w:firstLine="567"/>
        <w:jc w:val="center"/>
        <w:rPr>
          <w:b/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специальност</w:t>
      </w:r>
      <w:r w:rsidR="00B23546">
        <w:rPr>
          <w:b/>
          <w:sz w:val="20"/>
          <w:szCs w:val="20"/>
        </w:rPr>
        <w:t>и</w:t>
      </w: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</w:p>
    <w:p w:rsidR="003F26D3" w:rsidRDefault="00925341" w:rsidP="00925341">
      <w:pPr>
        <w:ind w:firstLine="567"/>
        <w:jc w:val="both"/>
        <w:rPr>
          <w:b/>
          <w:sz w:val="20"/>
          <w:szCs w:val="20"/>
        </w:rPr>
      </w:pPr>
      <w:r w:rsidRPr="00925341">
        <w:rPr>
          <w:color w:val="000000"/>
          <w:sz w:val="20"/>
          <w:szCs w:val="20"/>
        </w:rPr>
        <w:t>21.02.18 Обогащение полезных ископаемых</w:t>
      </w: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</w:p>
    <w:p w:rsidR="003F26D3" w:rsidRDefault="00B23546" w:rsidP="00C41E45">
      <w:pPr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Мильгамер</w:t>
      </w:r>
      <w:proofErr w:type="spellEnd"/>
      <w:r>
        <w:rPr>
          <w:sz w:val="20"/>
          <w:szCs w:val="20"/>
        </w:rPr>
        <w:t xml:space="preserve"> Н.А.</w:t>
      </w:r>
      <w:r w:rsidR="003F26D3">
        <w:rPr>
          <w:sz w:val="20"/>
          <w:szCs w:val="20"/>
        </w:rPr>
        <w:t xml:space="preserve">, преподаватель </w:t>
      </w:r>
      <w:r w:rsidR="00925341">
        <w:rPr>
          <w:sz w:val="20"/>
          <w:szCs w:val="20"/>
        </w:rPr>
        <w:t>ГПОУ «</w:t>
      </w:r>
      <w:proofErr w:type="spellStart"/>
      <w:r w:rsidR="003F26D3">
        <w:rPr>
          <w:sz w:val="20"/>
          <w:szCs w:val="20"/>
        </w:rPr>
        <w:t>Осинниковск</w:t>
      </w:r>
      <w:r w:rsidR="00925341">
        <w:rPr>
          <w:sz w:val="20"/>
          <w:szCs w:val="20"/>
        </w:rPr>
        <w:t>ий</w:t>
      </w:r>
      <w:proofErr w:type="spellEnd"/>
      <w:r w:rsidR="00925341">
        <w:rPr>
          <w:sz w:val="20"/>
          <w:szCs w:val="20"/>
        </w:rPr>
        <w:t xml:space="preserve"> </w:t>
      </w:r>
      <w:r w:rsidR="003F26D3">
        <w:rPr>
          <w:sz w:val="20"/>
          <w:szCs w:val="20"/>
        </w:rPr>
        <w:t>горнотехническ</w:t>
      </w:r>
      <w:r w:rsidR="00925341">
        <w:rPr>
          <w:sz w:val="20"/>
          <w:szCs w:val="20"/>
        </w:rPr>
        <w:t>ий</w:t>
      </w:r>
      <w:r w:rsidR="003F26D3">
        <w:rPr>
          <w:sz w:val="20"/>
          <w:szCs w:val="20"/>
        </w:rPr>
        <w:t xml:space="preserve"> колледж</w:t>
      </w:r>
      <w:r w:rsidR="00925341">
        <w:rPr>
          <w:sz w:val="20"/>
          <w:szCs w:val="20"/>
        </w:rPr>
        <w:t>»</w:t>
      </w: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5F31E1" w:rsidRDefault="005F31E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3F26D3" w:rsidRDefault="009551DC" w:rsidP="00C41E45">
      <w:pPr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Введение</w:t>
      </w:r>
    </w:p>
    <w:p w:rsidR="003F26D3" w:rsidRDefault="003F26D3" w:rsidP="00C41E45">
      <w:pPr>
        <w:ind w:firstLine="567"/>
        <w:jc w:val="center"/>
        <w:rPr>
          <w:sz w:val="20"/>
          <w:szCs w:val="20"/>
        </w:rPr>
      </w:pP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Обогащение полезных ископаемых предполагает комплексное использование минерального сырья и повышение технологических показателей. Особое внимание при этом уделяется качеству выпус</w:t>
      </w:r>
      <w:r>
        <w:softHyphen/>
        <w:t>каемой продукции, а также охране окружающей среды.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Бурное развитие техники обусловило рост добычи полезных иско</w:t>
      </w:r>
      <w:r>
        <w:softHyphen/>
        <w:t>паемых. Но добытые полезные ископаемые, как правило, бедны цен</w:t>
      </w:r>
      <w:r>
        <w:softHyphen/>
        <w:t>ными компонентами и не могут быть непосредственно использованы потребителями с достаточной эффективностью. Поэтому полезные ископаемые подвергаются обогащению, основной задачей которого является отделение ценных компонентов от так называемой пустой породы и вредных примесей.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 xml:space="preserve">Объектами изучения могут быть: процессы обогащения, машины, использование оборотной воды, очистка сточных вод, исследование руды на </w:t>
      </w:r>
      <w:proofErr w:type="spellStart"/>
      <w:r>
        <w:t>обогатимость</w:t>
      </w:r>
      <w:proofErr w:type="spellEnd"/>
      <w:r>
        <w:t xml:space="preserve"> и т.д.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При совершенствовании технологии переработки минерального сырья основными направлениями являются следующие.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1. Подготовка руд к обогащению. Технологические показатели при обогащении полезных ископаемых во многом определяются подго</w:t>
      </w:r>
      <w:r>
        <w:softHyphen/>
        <w:t xml:space="preserve">товительными операциями, связанными с раскрытием минеральных зерен и крупностью частиц. Перспективными являются </w:t>
      </w:r>
      <w:proofErr w:type="spellStart"/>
      <w:r>
        <w:t>самоизмел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руд и рудно-галечное измельчение. Целесообразно применение предварительной концентрации извлекаемых компонентов, например, методом обогащения руд в тяжелых суспензиях.</w:t>
      </w:r>
    </w:p>
    <w:p w:rsidR="003F26D3" w:rsidRDefault="002050DB" w:rsidP="000B385F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Гр</w:t>
      </w:r>
      <w:r w:rsidRPr="002050DB">
        <w:rPr>
          <w:color w:val="000000"/>
          <w:sz w:val="20"/>
          <w:szCs w:val="20"/>
        </w:rPr>
        <w:t>авитационное обогащение. Известно, что гравитационными методами обогащается более 50% всего горнорудного сырья. Перспективно применение тяжелых сред в статическом и динамическом условиях. В тяжелых суспензиях обогащаются угли, строительные материалы, фосфориты, руды черных и цветных металлов.</w:t>
      </w:r>
    </w:p>
    <w:p w:rsidR="002050DB" w:rsidRPr="002050DB" w:rsidRDefault="002050DB" w:rsidP="002050DB">
      <w:pPr>
        <w:ind w:firstLine="567"/>
        <w:jc w:val="both"/>
        <w:rPr>
          <w:color w:val="000000"/>
          <w:sz w:val="20"/>
          <w:szCs w:val="20"/>
        </w:rPr>
      </w:pPr>
      <w:r w:rsidRPr="002050DB">
        <w:rPr>
          <w:color w:val="000000"/>
          <w:sz w:val="20"/>
          <w:szCs w:val="20"/>
        </w:rPr>
        <w:t>3.</w:t>
      </w:r>
      <w:r w:rsidRPr="002050DB">
        <w:rPr>
          <w:color w:val="000000"/>
          <w:sz w:val="20"/>
          <w:szCs w:val="20"/>
        </w:rPr>
        <w:tab/>
        <w:t xml:space="preserve">Флотационное обогащение. Методом флотации извлекается около 100 минералов. Обогащается более 90% руды цветных металлов и других полезных ископаемых. Осваиваются новые виды флотации: вакуумная, </w:t>
      </w:r>
      <w:proofErr w:type="spellStart"/>
      <w:r w:rsidRPr="002050DB">
        <w:rPr>
          <w:color w:val="000000"/>
          <w:sz w:val="20"/>
          <w:szCs w:val="20"/>
        </w:rPr>
        <w:t>электрофлотация</w:t>
      </w:r>
      <w:proofErr w:type="spellEnd"/>
      <w:r w:rsidRPr="002050DB">
        <w:rPr>
          <w:color w:val="000000"/>
          <w:sz w:val="20"/>
          <w:szCs w:val="20"/>
        </w:rPr>
        <w:t xml:space="preserve">, пенная сепарация и др. Основная тенденция совершенствования флотации — увеличение верхнего предела крупности обогащаемого минерального сырья и повышение селективности. Исследуются: предварительная обработка материалов реагентами, место их подачи; электрохимическое окисление; раздельное кондиционирование песков и шламов, а также их обогащение. Перспективна </w:t>
      </w:r>
      <w:proofErr w:type="spellStart"/>
      <w:r w:rsidRPr="002050DB">
        <w:rPr>
          <w:color w:val="000000"/>
          <w:sz w:val="20"/>
          <w:szCs w:val="20"/>
        </w:rPr>
        <w:t>межцикловая</w:t>
      </w:r>
      <w:proofErr w:type="spellEnd"/>
      <w:r w:rsidRPr="002050DB">
        <w:rPr>
          <w:color w:val="000000"/>
          <w:sz w:val="20"/>
          <w:szCs w:val="20"/>
        </w:rPr>
        <w:t xml:space="preserve"> флотация.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0"/>
        <w:jc w:val="both"/>
      </w:pPr>
      <w:r w:rsidRPr="002050DB">
        <w:rPr>
          <w:color w:val="000000"/>
        </w:rPr>
        <w:t>Существенные изменения наметились в области конструирования флотационных машин, воздействия на обработку пульпы. Так, пред</w:t>
      </w:r>
      <w:r>
        <w:t xml:space="preserve">ставляют интерес флотационные машины вакуумной и </w:t>
      </w:r>
      <w:proofErr w:type="spellStart"/>
      <w:r>
        <w:t>флокулярной</w:t>
      </w:r>
      <w:proofErr w:type="spellEnd"/>
      <w:r>
        <w:t xml:space="preserve"> флотации, </w:t>
      </w:r>
      <w:proofErr w:type="gramStart"/>
      <w:r>
        <w:t>струйного</w:t>
      </w:r>
      <w:proofErr w:type="gramEnd"/>
      <w:r>
        <w:t xml:space="preserve"> </w:t>
      </w:r>
      <w:proofErr w:type="spellStart"/>
      <w:r>
        <w:t>аэрирования</w:t>
      </w:r>
      <w:proofErr w:type="spellEnd"/>
      <w:r>
        <w:t>. Совершенствуются конструктив</w:t>
      </w:r>
      <w:r>
        <w:softHyphen/>
        <w:t xml:space="preserve">ные элементы флотационных машин: форма камер, импеллеры, </w:t>
      </w:r>
      <w:proofErr w:type="spellStart"/>
      <w:r>
        <w:t>пеносъем</w:t>
      </w:r>
      <w:proofErr w:type="spellEnd"/>
      <w:r>
        <w:t xml:space="preserve">, привод и т.д. Изучаются свойства жидкой фазы и прежде всего наличие остаточной </w:t>
      </w:r>
      <w:r>
        <w:lastRenderedPageBreak/>
        <w:t>концентрации реагентов, что позволяет оптими</w:t>
      </w:r>
      <w:r>
        <w:softHyphen/>
        <w:t>зировать их расход при автоматической подаче в процесс.</w:t>
      </w:r>
    </w:p>
    <w:p w:rsidR="002050DB" w:rsidRDefault="002050DB" w:rsidP="002050DB">
      <w:pPr>
        <w:pStyle w:val="20"/>
        <w:numPr>
          <w:ilvl w:val="0"/>
          <w:numId w:val="8"/>
        </w:numPr>
        <w:shd w:val="clear" w:color="auto" w:fill="auto"/>
        <w:tabs>
          <w:tab w:val="left" w:pos="562"/>
        </w:tabs>
        <w:spacing w:line="226" w:lineRule="exact"/>
        <w:ind w:firstLine="320"/>
        <w:jc w:val="both"/>
      </w:pPr>
      <w:r>
        <w:t>Магнитная и электрическая сепарации. Магнитная сепарация находит широкое применение при обогащении магнетитовых руд и при разделении коллективных гравитационных концентратов. В большин</w:t>
      </w:r>
      <w:r>
        <w:softHyphen/>
        <w:t>стве случаев применяют мокрые процессы измельчения и обогащения полезных ископаемых. Однако эффективно и предварительное сухое обогащение руд.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Выделяют такие направления магнитной сепарации: увеличение разделяющих сил (магнитной и центробежной); повышение напря</w:t>
      </w:r>
      <w:r>
        <w:softHyphen/>
        <w:t>женности поля; нейтрализация поверхностных сил, вызывающих ад</w:t>
      </w:r>
      <w:r>
        <w:softHyphen/>
        <w:t xml:space="preserve">гезионную </w:t>
      </w:r>
      <w:proofErr w:type="spellStart"/>
      <w:r>
        <w:t>флокуляцию</w:t>
      </w:r>
      <w:proofErr w:type="spellEnd"/>
      <w:r>
        <w:t>, и др. Осваивается конструирование новых, более эффективных сепараторов.</w:t>
      </w:r>
    </w:p>
    <w:p w:rsidR="002050DB" w:rsidRDefault="002050DB" w:rsidP="002050DB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26" w:lineRule="exact"/>
        <w:ind w:firstLine="320"/>
        <w:jc w:val="both"/>
      </w:pPr>
      <w:r>
        <w:t>Электрические методы обогащения используются самостоя</w:t>
      </w:r>
      <w:r>
        <w:softHyphen/>
        <w:t xml:space="preserve">тельно, </w:t>
      </w:r>
      <w:proofErr w:type="gramStart"/>
      <w:r>
        <w:t>например</w:t>
      </w:r>
      <w:proofErr w:type="gramEnd"/>
      <w:r>
        <w:t xml:space="preserve"> для обогащения </w:t>
      </w:r>
      <w:proofErr w:type="spellStart"/>
      <w:r>
        <w:t>редкометалльных</w:t>
      </w:r>
      <w:proofErr w:type="spellEnd"/>
      <w:r>
        <w:t xml:space="preserve"> песков, а также в комбинации с магнитным, </w:t>
      </w:r>
      <w:proofErr w:type="spellStart"/>
      <w:r>
        <w:t>обжигмагнитным</w:t>
      </w:r>
      <w:proofErr w:type="spellEnd"/>
      <w:r>
        <w:t xml:space="preserve"> и другими методами.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В первой главе даны сведения о минеральном сырье, показателях обогащения. В остальных главах приводятся характеристики процес</w:t>
      </w:r>
      <w:r>
        <w:softHyphen/>
        <w:t>сов обогащения, технологии переработки, применяемое оборудование и его расчет.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Целью учебного пособия является формирование у обучающихся знаний о процессах обогащения полезных ископаемых. В процессе изучения студенты должны освоить теоретические основы процессов обогащения, конструкции применяемого оборудования и методики расчета технологических схем.</w:t>
      </w:r>
    </w:p>
    <w:p w:rsidR="002050DB" w:rsidRDefault="002050DB" w:rsidP="002050DB">
      <w:pPr>
        <w:pStyle w:val="20"/>
        <w:shd w:val="clear" w:color="auto" w:fill="auto"/>
        <w:spacing w:line="226" w:lineRule="exact"/>
        <w:ind w:firstLine="320"/>
        <w:jc w:val="both"/>
      </w:pPr>
      <w:r>
        <w:t>При освоении дисциплины обучающийся должен демонстрировать результаты образования, базирующиеся на знании:</w:t>
      </w:r>
    </w:p>
    <w:p w:rsidR="002050DB" w:rsidRDefault="002050DB" w:rsidP="002050DB">
      <w:pPr>
        <w:pStyle w:val="130"/>
        <w:shd w:val="clear" w:color="auto" w:fill="auto"/>
        <w:spacing w:before="0" w:line="226" w:lineRule="exact"/>
        <w:ind w:firstLine="320"/>
        <w:jc w:val="both"/>
      </w:pPr>
      <w:r>
        <w:t>Студент должен уметь:</w:t>
      </w:r>
    </w:p>
    <w:p w:rsidR="002050DB" w:rsidRDefault="002050DB" w:rsidP="00024216">
      <w:pPr>
        <w:pStyle w:val="20"/>
        <w:shd w:val="clear" w:color="auto" w:fill="auto"/>
        <w:tabs>
          <w:tab w:val="left" w:pos="237"/>
        </w:tabs>
        <w:spacing w:line="226" w:lineRule="exact"/>
        <w:ind w:left="320" w:right="140" w:firstLine="0"/>
        <w:jc w:val="both"/>
      </w:pPr>
      <w:r>
        <w:t>составлять схемы обогащения руд с учетом требований по качеству конечного продукта переработки минерально</w:t>
      </w:r>
      <w:r w:rsidR="00024216">
        <w:t>го сырья.</w:t>
      </w:r>
    </w:p>
    <w:p w:rsidR="00024216" w:rsidRDefault="00024216" w:rsidP="00024216">
      <w:pPr>
        <w:pStyle w:val="130"/>
        <w:shd w:val="clear" w:color="auto" w:fill="auto"/>
        <w:spacing w:before="0" w:line="226" w:lineRule="exact"/>
        <w:ind w:left="300"/>
        <w:jc w:val="both"/>
      </w:pPr>
    </w:p>
    <w:p w:rsidR="00024216" w:rsidRDefault="00024216" w:rsidP="00024216">
      <w:pPr>
        <w:pStyle w:val="130"/>
        <w:shd w:val="clear" w:color="auto" w:fill="auto"/>
        <w:spacing w:before="0" w:line="226" w:lineRule="exact"/>
        <w:ind w:left="300"/>
        <w:jc w:val="both"/>
      </w:pPr>
      <w:r>
        <w:t>Студент должен владеть:</w:t>
      </w:r>
    </w:p>
    <w:p w:rsidR="00024216" w:rsidRDefault="00024216" w:rsidP="00024216">
      <w:pPr>
        <w:pStyle w:val="130"/>
        <w:framePr w:w="6278" w:h="2999" w:hRule="exact" w:wrap="none" w:vAnchor="page" w:hAnchor="page" w:x="655" w:y="1507"/>
        <w:shd w:val="clear" w:color="auto" w:fill="auto"/>
        <w:spacing w:before="0" w:line="226" w:lineRule="exact"/>
        <w:ind w:firstLine="300"/>
        <w:jc w:val="both"/>
      </w:pPr>
      <w:r>
        <w:t>Студент должен владеть:</w:t>
      </w:r>
    </w:p>
    <w:p w:rsidR="002050DB" w:rsidRDefault="00024216" w:rsidP="00024216">
      <w:pPr>
        <w:pStyle w:val="20"/>
        <w:shd w:val="clear" w:color="auto" w:fill="auto"/>
        <w:tabs>
          <w:tab w:val="left" w:pos="237"/>
        </w:tabs>
        <w:spacing w:line="226" w:lineRule="exact"/>
        <w:ind w:left="320" w:right="140" w:firstLine="0"/>
        <w:jc w:val="both"/>
      </w:pPr>
      <w:r>
        <w:t>анализом условий работы и обслуживания узлов и оборудования фабрики для классификации основных операций и определения главных неисправностей технологических узлов</w:t>
      </w:r>
    </w:p>
    <w:p w:rsidR="002050DB" w:rsidRPr="000B385F" w:rsidRDefault="002050DB" w:rsidP="002050DB">
      <w:pPr>
        <w:ind w:firstLine="567"/>
        <w:jc w:val="both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Требования к содержанию и оформлению контрольной работы</w:t>
      </w:r>
    </w:p>
    <w:p w:rsidR="005947C1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5947C1">
        <w:rPr>
          <w:b/>
          <w:color w:val="000000"/>
          <w:sz w:val="20"/>
          <w:szCs w:val="20"/>
        </w:rPr>
        <w:t xml:space="preserve"> </w:t>
      </w:r>
    </w:p>
    <w:p w:rsidR="005947C1" w:rsidRDefault="005947C1" w:rsidP="00C41E4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Вариант контрольной работы выбирается по последним (двум) цифрам индивидуального шифра (номера заданий см. в та</w:t>
      </w:r>
      <w:r w:rsidR="004A6CFC">
        <w:rPr>
          <w:color w:val="000000"/>
          <w:sz w:val="20"/>
          <w:szCs w:val="20"/>
        </w:rPr>
        <w:t xml:space="preserve">блице). Контрольная работа должна быть выполнена </w:t>
      </w:r>
      <w:r>
        <w:rPr>
          <w:color w:val="000000"/>
          <w:sz w:val="20"/>
          <w:szCs w:val="20"/>
        </w:rPr>
        <w:t>в рукописном (12 страниц ученической тетради)</w:t>
      </w:r>
      <w:r w:rsidR="004A6CFC">
        <w:rPr>
          <w:color w:val="000000"/>
          <w:sz w:val="20"/>
          <w:szCs w:val="20"/>
        </w:rPr>
        <w:t>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первой странице необходимо указать номер варианта (шифра), Ф.И.О. студента, на второй - содержание контрольной работы. Каждое задание начинают с новой страницы, соблюдаются поля. Текст задания переписывается полностью. В конце работы обязателен список использованной литературы (не менее 3-х источников, в алфавитном порядке).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Контрольная работа состоит из </w:t>
      </w:r>
      <w:r w:rsidR="00367DA6">
        <w:rPr>
          <w:color w:val="000000"/>
          <w:sz w:val="20"/>
          <w:szCs w:val="20"/>
        </w:rPr>
        <w:t>нескольких</w:t>
      </w:r>
      <w:r>
        <w:rPr>
          <w:color w:val="000000"/>
          <w:sz w:val="20"/>
          <w:szCs w:val="20"/>
        </w:rPr>
        <w:t xml:space="preserve"> заданий.  Первое задание является теоретическим, требует работы с литературой, конспектирования. </w:t>
      </w:r>
      <w:r w:rsidR="00367DA6">
        <w:rPr>
          <w:color w:val="000000"/>
          <w:sz w:val="20"/>
          <w:szCs w:val="20"/>
        </w:rPr>
        <w:t>Во втором задании необходимо выполнить расчет таблицы по индивидуальным заданным параметрам</w:t>
      </w:r>
      <w:r>
        <w:rPr>
          <w:color w:val="000000"/>
          <w:sz w:val="20"/>
          <w:szCs w:val="20"/>
        </w:rPr>
        <w:t>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данном методическом пособии указан подробный список литературы, но студент имеет право использовать и другие источники, те, которые имеются в библиотеках его города.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Выполненную работу следует своевременно сдавать на заочное отделение.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После получения зачтенной работы необходимо внимательно изучить рецензию и все замечания преподавателя. Не</w:t>
      </w:r>
      <w:r w:rsidR="0092534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зачтенная </w:t>
      </w:r>
      <w:r w:rsidR="00925341">
        <w:rPr>
          <w:color w:val="000000"/>
          <w:sz w:val="20"/>
          <w:szCs w:val="20"/>
        </w:rPr>
        <w:t xml:space="preserve">преподавателем </w:t>
      </w:r>
      <w:r>
        <w:rPr>
          <w:color w:val="000000"/>
          <w:sz w:val="20"/>
          <w:szCs w:val="20"/>
        </w:rPr>
        <w:t xml:space="preserve">работа выполняется заново и сдается для повторного рецензирования.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Зачтенная контрольная работа является необходимым условием допуска к зачету. Контрольная работа, выполненная не по своему варианту, в неполном объеме или, напротив, слишком объемная, а также выполненная неразборчиво и с фактическими ошибками к рецензированию не принимается и возвращается без оценки. </w:t>
      </w:r>
    </w:p>
    <w:p w:rsidR="00367DA6" w:rsidRDefault="00367DA6" w:rsidP="00367DA6">
      <w:pPr>
        <w:ind w:firstLine="567"/>
        <w:rPr>
          <w:color w:val="000000"/>
          <w:sz w:val="20"/>
          <w:szCs w:val="20"/>
        </w:rPr>
      </w:pPr>
    </w:p>
    <w:p w:rsidR="00367DA6" w:rsidRDefault="00367DA6" w:rsidP="00C41E45">
      <w:pPr>
        <w:ind w:firstLine="567"/>
        <w:jc w:val="center"/>
        <w:rPr>
          <w:color w:val="000000"/>
          <w:sz w:val="22"/>
          <w:szCs w:val="20"/>
        </w:rPr>
      </w:pPr>
      <w:r>
        <w:rPr>
          <w:color w:val="000000"/>
          <w:sz w:val="20"/>
          <w:szCs w:val="20"/>
        </w:rPr>
        <w:br w:type="page"/>
      </w:r>
      <w:r w:rsidRPr="00367DA6">
        <w:rPr>
          <w:color w:val="000000"/>
          <w:sz w:val="22"/>
          <w:szCs w:val="20"/>
        </w:rPr>
        <w:lastRenderedPageBreak/>
        <w:t>Теоретические вопросы.</w:t>
      </w:r>
    </w:p>
    <w:p w:rsidR="00360163" w:rsidRDefault="00360163" w:rsidP="00C41E45">
      <w:pPr>
        <w:ind w:firstLine="567"/>
        <w:jc w:val="center"/>
        <w:rPr>
          <w:color w:val="000000"/>
          <w:sz w:val="22"/>
          <w:szCs w:val="20"/>
        </w:rPr>
      </w:pP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На каком принципе основан процесс обогащения в  минеральных суспензиях?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Перечислите  свойства суспензии? Способы стабилизации суспензии?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Какие  минералы могут использоваться в качестве утяжелителя?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Перечислите  требования  к утяжелителю.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 xml:space="preserve">Рассказать устройство и принцип действия </w:t>
      </w:r>
      <w:proofErr w:type="spellStart"/>
      <w:r w:rsidRPr="007B6C39">
        <w:rPr>
          <w:color w:val="000000"/>
        </w:rPr>
        <w:t>тяжелосредного</w:t>
      </w:r>
      <w:proofErr w:type="spellEnd"/>
      <w:r w:rsidRPr="007B6C39">
        <w:rPr>
          <w:color w:val="000000"/>
        </w:rPr>
        <w:t xml:space="preserve"> сепаратора СКВП-32.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 xml:space="preserve">Что называется  регенерацией суспензии? </w:t>
      </w:r>
      <w:proofErr w:type="gramStart"/>
      <w:r w:rsidRPr="007B6C39">
        <w:rPr>
          <w:color w:val="000000"/>
        </w:rPr>
        <w:t>Объясните  чем отличается</w:t>
      </w:r>
      <w:proofErr w:type="gramEnd"/>
      <w:r w:rsidRPr="007B6C39">
        <w:rPr>
          <w:color w:val="000000"/>
        </w:rPr>
        <w:t xml:space="preserve">   КС    от  НС? 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Устройство и принцип действия  ЭБМ.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 xml:space="preserve">Пуск </w:t>
      </w:r>
      <w:proofErr w:type="spellStart"/>
      <w:r w:rsidRPr="007B6C39">
        <w:rPr>
          <w:color w:val="000000"/>
        </w:rPr>
        <w:t>тяжелосредных</w:t>
      </w:r>
      <w:proofErr w:type="spellEnd"/>
      <w:r w:rsidRPr="007B6C39">
        <w:rPr>
          <w:color w:val="000000"/>
        </w:rPr>
        <w:t xml:space="preserve"> установок, остановка и </w:t>
      </w:r>
      <w:proofErr w:type="gramStart"/>
      <w:r w:rsidRPr="007B6C39">
        <w:rPr>
          <w:color w:val="000000"/>
        </w:rPr>
        <w:t>контроль за</w:t>
      </w:r>
      <w:proofErr w:type="gramEnd"/>
      <w:r w:rsidRPr="007B6C39">
        <w:rPr>
          <w:color w:val="000000"/>
        </w:rPr>
        <w:t xml:space="preserve"> их работой.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На каком свойстве полезных ископаемых основан процесс флотации?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Какие условия необходимы для осуществления флотации?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Какие реагенты применяются при флотации углей, какова их роль?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Как устроена и действует флотационная машина?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 xml:space="preserve">Перечислите </w:t>
      </w:r>
      <w:proofErr w:type="gramStart"/>
      <w:r w:rsidRPr="007B6C39">
        <w:rPr>
          <w:color w:val="000000"/>
        </w:rPr>
        <w:t>факторы</w:t>
      </w:r>
      <w:proofErr w:type="gramEnd"/>
      <w:r w:rsidRPr="007B6C39">
        <w:rPr>
          <w:color w:val="000000"/>
        </w:rPr>
        <w:t xml:space="preserve"> влияющие на процесс флотации, их характеристики?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proofErr w:type="spellStart"/>
      <w:r w:rsidRPr="007B6C39">
        <w:rPr>
          <w:color w:val="000000"/>
        </w:rPr>
        <w:t>Тяжелосредные</w:t>
      </w:r>
      <w:proofErr w:type="spellEnd"/>
      <w:r w:rsidRPr="007B6C39">
        <w:rPr>
          <w:color w:val="000000"/>
        </w:rPr>
        <w:t xml:space="preserve"> сепараторы.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proofErr w:type="spellStart"/>
      <w:r w:rsidRPr="007B6C39">
        <w:rPr>
          <w:color w:val="000000"/>
        </w:rPr>
        <w:t>Тяжелосредные</w:t>
      </w:r>
      <w:proofErr w:type="spellEnd"/>
      <w:r w:rsidRPr="007B6C39">
        <w:rPr>
          <w:color w:val="000000"/>
        </w:rPr>
        <w:t xml:space="preserve"> гидроциклоны.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Сепараторы для регенерации магнетитовой суспензии.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Технологические схемы и режимы обогащения в тяжелых средах.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Технологические схемы обогащения углей с использованием гравитационных методов обогащения.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Обогащение на винтовых сепараторах.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Гравитационные методы обогащения, их классификация.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Разделяющие среды и их свойства.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Устройство диафрагмовых отсадочных машин и факторы, влияющие на эффективность их работы.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 xml:space="preserve">Принцип действия </w:t>
      </w:r>
      <w:proofErr w:type="spellStart"/>
      <w:r w:rsidRPr="007B6C39">
        <w:rPr>
          <w:color w:val="000000"/>
        </w:rPr>
        <w:t>беспоршневых</w:t>
      </w:r>
      <w:proofErr w:type="spellEnd"/>
      <w:r w:rsidRPr="007B6C39">
        <w:rPr>
          <w:color w:val="000000"/>
        </w:rPr>
        <w:t xml:space="preserve"> отсадочных машин. Признаки их классификации.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Отсадка в непрерывно-восходящем пульсирующем потоке воды.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Воздушно-пульсационные (</w:t>
      </w:r>
      <w:proofErr w:type="spellStart"/>
      <w:r w:rsidRPr="007B6C39">
        <w:rPr>
          <w:color w:val="000000"/>
        </w:rPr>
        <w:t>беспоршневые</w:t>
      </w:r>
      <w:proofErr w:type="spellEnd"/>
      <w:r w:rsidRPr="007B6C39">
        <w:rPr>
          <w:color w:val="000000"/>
        </w:rPr>
        <w:t>) отсадочные машины.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Технологические схемы и режимы отсадки.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Характеристика магнитных процессов обогащения.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Классификация минералов и руд в зависимости от их магнитных свойств.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lastRenderedPageBreak/>
        <w:t>Физические основы электрического обогащения.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Классификация электрических сепараторов.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Область применения магнитных и электрических методов обогащения при переработке полезных ископаемых.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Сущность флотационного процесса обогащения.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Свойства поверхностей раздела фаз при флотации.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Пенообразователи, применяемые при обогащении руд.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Назначение собирателей, их классификация и химизм действия.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Виды связей поверхности минералов, их характеристика.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Стадия и цикл флотации.</w:t>
      </w:r>
    </w:p>
    <w:p w:rsidR="007B6C39" w:rsidRP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Конструктивные особенности флотационных машин механического, пневматического и других типов.</w:t>
      </w:r>
    </w:p>
    <w:p w:rsidR="007B6C39" w:rsidRDefault="007B6C39" w:rsidP="007B6C39">
      <w:pPr>
        <w:pStyle w:val="1"/>
        <w:numPr>
          <w:ilvl w:val="3"/>
          <w:numId w:val="7"/>
        </w:numPr>
        <w:shd w:val="clear" w:color="auto" w:fill="FFFFFF"/>
        <w:ind w:left="284" w:firstLine="283"/>
        <w:jc w:val="both"/>
        <w:rPr>
          <w:color w:val="000000"/>
        </w:rPr>
      </w:pPr>
      <w:r w:rsidRPr="007B6C39">
        <w:rPr>
          <w:color w:val="000000"/>
        </w:rPr>
        <w:t>Выбор и расчет флотационных машин.</w:t>
      </w:r>
    </w:p>
    <w:p w:rsidR="00360163" w:rsidRDefault="00360163" w:rsidP="00024216">
      <w:pPr>
        <w:pStyle w:val="1"/>
        <w:shd w:val="clear" w:color="auto" w:fill="FFFFFF"/>
        <w:ind w:left="567"/>
        <w:jc w:val="both"/>
        <w:rPr>
          <w:color w:val="000000"/>
        </w:rPr>
      </w:pPr>
    </w:p>
    <w:p w:rsidR="00024216" w:rsidRPr="006E0B45" w:rsidRDefault="00024216" w:rsidP="0002421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</w:t>
      </w:r>
    </w:p>
    <w:p w:rsidR="00024216" w:rsidRPr="00024216" w:rsidRDefault="00024216" w:rsidP="00024216">
      <w:pPr>
        <w:pStyle w:val="a8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0"/>
          <w:szCs w:val="20"/>
        </w:rPr>
      </w:pPr>
      <w:r w:rsidRPr="00024216">
        <w:rPr>
          <w:rFonts w:ascii="Times New Roman" w:hAnsi="Times New Roman"/>
          <w:sz w:val="20"/>
          <w:szCs w:val="20"/>
        </w:rPr>
        <w:t>Ситовый анализ. Построение суммарных характеристик крупности угля. Определение выхода заданного класса. Данные для расчета выдаются индивидуально.</w:t>
      </w:r>
    </w:p>
    <w:p w:rsidR="00024216" w:rsidRPr="00024216" w:rsidRDefault="00024216" w:rsidP="00024216">
      <w:pPr>
        <w:textAlignment w:val="baseline"/>
        <w:rPr>
          <w:rFonts w:ascii="Segoe UI" w:hAnsi="Segoe UI" w:cs="Segoe UI"/>
          <w:sz w:val="20"/>
          <w:szCs w:val="20"/>
        </w:rPr>
      </w:pPr>
      <w:r w:rsidRPr="00024216">
        <w:rPr>
          <w:sz w:val="20"/>
          <w:szCs w:val="20"/>
        </w:rPr>
        <w:t>Таблица 1 Ситовый анализ</w:t>
      </w:r>
    </w:p>
    <w:tbl>
      <w:tblPr>
        <w:tblW w:w="5953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822"/>
        <w:gridCol w:w="808"/>
        <w:gridCol w:w="1040"/>
        <w:gridCol w:w="1795"/>
      </w:tblGrid>
      <w:tr w:rsidR="00024216" w:rsidRPr="00024216" w:rsidTr="001C45CF">
        <w:trPr>
          <w:trHeight w:val="514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  <w:r w:rsidRPr="00024216">
              <w:rPr>
                <w:sz w:val="20"/>
                <w:szCs w:val="20"/>
              </w:rPr>
              <w:t>Класс крупности, </w:t>
            </w:r>
            <w:proofErr w:type="gramStart"/>
            <w:r w:rsidRPr="00024216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Выход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Суммарный выход, %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  <w:lang w:val="en-US"/>
              </w:rPr>
              <w:t>Q</w:t>
            </w:r>
            <w:r w:rsidRPr="00024216">
              <w:rPr>
                <w:sz w:val="20"/>
                <w:szCs w:val="20"/>
              </w:rPr>
              <w:t>, кг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γ, %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по «+»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по «</w:t>
            </w:r>
            <w:proofErr w:type="gramStart"/>
            <w:r w:rsidRPr="00024216">
              <w:rPr>
                <w:sz w:val="20"/>
                <w:szCs w:val="20"/>
              </w:rPr>
              <w:t>-»</w:t>
            </w:r>
            <w:proofErr w:type="gramEnd"/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32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2 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3 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4 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5 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+100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25,6 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–100+50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17,2 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–50+25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20,9 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–25+13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38,2 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–13 +6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10,8 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–6+3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15,4 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–3+1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60,0 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lastRenderedPageBreak/>
              <w:t>–1+0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25,5 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1C45CF">
            <w:pPr>
              <w:ind w:left="-409"/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  <w:tr w:rsidR="00024216" w:rsidRPr="00024216" w:rsidTr="001C45CF">
        <w:trPr>
          <w:trHeight w:val="51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Итого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jc w:val="center"/>
              <w:textAlignment w:val="baseline"/>
              <w:rPr>
                <w:sz w:val="20"/>
                <w:szCs w:val="20"/>
              </w:rPr>
            </w:pPr>
            <w:r w:rsidRPr="00024216">
              <w:rPr>
                <w:sz w:val="20"/>
                <w:szCs w:val="20"/>
              </w:rPr>
              <w:t> </w:t>
            </w:r>
          </w:p>
        </w:tc>
      </w:tr>
    </w:tbl>
    <w:p w:rsidR="00024216" w:rsidRPr="00024216" w:rsidRDefault="00024216" w:rsidP="00024216">
      <w:pPr>
        <w:jc w:val="both"/>
        <w:textAlignment w:val="baseline"/>
        <w:rPr>
          <w:sz w:val="20"/>
          <w:szCs w:val="20"/>
        </w:rPr>
      </w:pPr>
    </w:p>
    <w:p w:rsidR="00024216" w:rsidRPr="00024216" w:rsidRDefault="00024216" w:rsidP="00024216">
      <w:pPr>
        <w:numPr>
          <w:ilvl w:val="1"/>
          <w:numId w:val="12"/>
        </w:numPr>
        <w:ind w:left="567" w:firstLine="709"/>
        <w:contextualSpacing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В ячейки графы №3 записывается выход каждого класса крупности в процентах, рассчитанный по формуле: </w:t>
      </w:r>
    </w:p>
    <w:p w:rsidR="00024216" w:rsidRPr="00024216" w:rsidRDefault="00024216" w:rsidP="00024216">
      <w:pPr>
        <w:shd w:val="clear" w:color="auto" w:fill="FFFFFF"/>
        <w:ind w:left="567" w:firstLine="709"/>
        <w:jc w:val="center"/>
        <w:rPr>
          <w:rFonts w:ascii="Segoe UI" w:hAnsi="Segoe UI" w:cs="Segoe UI"/>
          <w:color w:val="000000"/>
          <w:sz w:val="20"/>
          <w:szCs w:val="20"/>
        </w:rPr>
      </w:pP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γ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кл</w:t>
      </w:r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.=</w:t>
      </w:r>
      <w:r w:rsidRPr="00024216">
        <w:rPr>
          <w:rFonts w:ascii="MathJax_Size1" w:hAnsi="MathJax_Size1" w:cs="Segoe UI"/>
          <w:color w:val="000000"/>
          <w:sz w:val="20"/>
          <w:szCs w:val="20"/>
          <w:bdr w:val="none" w:sz="0" w:space="0" w:color="auto" w:frame="1"/>
        </w:rPr>
        <w:t>(</w:t>
      </w:r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100×</w:t>
      </w: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Q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кл</w:t>
      </w:r>
      <w:proofErr w:type="gramStart"/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 </w:t>
      </w:r>
      <w:r w:rsidRPr="00024216">
        <w:rPr>
          <w:rFonts w:ascii="MathJax_Size1" w:hAnsi="MathJax_Size1" w:cs="Segoe UI"/>
          <w:color w:val="000000"/>
          <w:sz w:val="20"/>
          <w:szCs w:val="20"/>
          <w:bdr w:val="none" w:sz="0" w:space="0" w:color="auto" w:frame="1"/>
        </w:rPr>
        <w:t>)</w:t>
      </w:r>
      <w:proofErr w:type="gramEnd"/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/</w:t>
      </w: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Q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итог</w:t>
      </w:r>
      <w:r w:rsidRPr="00024216">
        <w:rPr>
          <w:rFonts w:ascii="Cambria Math" w:hAnsi="Cambria Math" w:cs="Cambria Math"/>
          <w:color w:val="000000"/>
          <w:sz w:val="20"/>
          <w:szCs w:val="20"/>
          <w:bdr w:val="none" w:sz="0" w:space="0" w:color="auto" w:frame="1"/>
        </w:rPr>
        <w:t>𝛾</w:t>
      </w:r>
      <w:r w:rsidRPr="00024216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кл.=(100×Qкл )/Qитог</w:t>
      </w:r>
    </w:p>
    <w:p w:rsidR="00024216" w:rsidRPr="00024216" w:rsidRDefault="00024216" w:rsidP="00024216">
      <w:pPr>
        <w:shd w:val="clear" w:color="auto" w:fill="FFFFFF"/>
        <w:ind w:left="567" w:firstLine="709"/>
        <w:rPr>
          <w:rFonts w:ascii="Segoe UI" w:hAnsi="Segoe UI" w:cs="Segoe UI"/>
          <w:color w:val="000000"/>
          <w:sz w:val="20"/>
          <w:szCs w:val="20"/>
        </w:rPr>
      </w:pPr>
      <w:r w:rsidRPr="00024216">
        <w:rPr>
          <w:color w:val="000000"/>
          <w:sz w:val="20"/>
          <w:szCs w:val="20"/>
        </w:rPr>
        <w:t> </w:t>
      </w:r>
    </w:p>
    <w:p w:rsidR="00024216" w:rsidRPr="00024216" w:rsidRDefault="00024216" w:rsidP="00024216">
      <w:pPr>
        <w:numPr>
          <w:ilvl w:val="0"/>
          <w:numId w:val="13"/>
        </w:numPr>
        <w:ind w:left="567" w:firstLine="709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Затем рассчитывается суммарный выход по «+» и заполняется графа №4  </w:t>
      </w:r>
    </w:p>
    <w:p w:rsidR="00024216" w:rsidRPr="00024216" w:rsidRDefault="00024216" w:rsidP="00024216">
      <w:pPr>
        <w:numPr>
          <w:ilvl w:val="0"/>
          <w:numId w:val="14"/>
        </w:numPr>
        <w:ind w:left="567" w:firstLine="709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Затем рассчитывается суммарный выход по </w:t>
      </w:r>
      <w:proofErr w:type="gramStart"/>
      <w:r w:rsidRPr="00024216">
        <w:rPr>
          <w:sz w:val="20"/>
          <w:szCs w:val="20"/>
        </w:rPr>
        <w:t>«-</w:t>
      </w:r>
      <w:proofErr w:type="gramEnd"/>
      <w:r w:rsidRPr="00024216">
        <w:rPr>
          <w:sz w:val="20"/>
          <w:szCs w:val="20"/>
        </w:rPr>
        <w:t>» и заполняется графа №5 </w:t>
      </w:r>
    </w:p>
    <w:p w:rsidR="00024216" w:rsidRPr="00024216" w:rsidRDefault="00024216" w:rsidP="00024216">
      <w:pPr>
        <w:numPr>
          <w:ilvl w:val="0"/>
          <w:numId w:val="15"/>
        </w:numPr>
        <w:ind w:left="567" w:firstLine="709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По данным граф №4 и №5 строятся суммарные характеристики крупности. </w:t>
      </w:r>
    </w:p>
    <w:p w:rsidR="00024216" w:rsidRPr="00024216" w:rsidRDefault="00024216" w:rsidP="00024216">
      <w:pPr>
        <w:pStyle w:val="a8"/>
        <w:numPr>
          <w:ilvl w:val="0"/>
          <w:numId w:val="15"/>
        </w:numPr>
        <w:tabs>
          <w:tab w:val="clear" w:pos="720"/>
          <w:tab w:val="num" w:pos="0"/>
        </w:tabs>
        <w:ind w:left="567" w:firstLine="709"/>
        <w:rPr>
          <w:rFonts w:ascii="Times New Roman" w:eastAsia="Times New Roman" w:hAnsi="Times New Roman"/>
          <w:sz w:val="20"/>
          <w:szCs w:val="20"/>
        </w:rPr>
      </w:pPr>
      <w:r w:rsidRPr="00024216">
        <w:rPr>
          <w:rFonts w:ascii="Times New Roman" w:eastAsia="Times New Roman" w:hAnsi="Times New Roman"/>
          <w:sz w:val="20"/>
          <w:szCs w:val="20"/>
        </w:rPr>
        <w:t xml:space="preserve">Определение выхода заданного класса крупности, индивидуально для каждого. </w:t>
      </w:r>
    </w:p>
    <w:p w:rsidR="00024216" w:rsidRPr="00024216" w:rsidRDefault="00024216" w:rsidP="00024216">
      <w:pPr>
        <w:spacing w:line="360" w:lineRule="auto"/>
        <w:ind w:left="567" w:firstLine="709"/>
        <w:rPr>
          <w:sz w:val="20"/>
          <w:szCs w:val="20"/>
        </w:rPr>
      </w:pPr>
      <w:r w:rsidRPr="00024216">
        <w:rPr>
          <w:sz w:val="20"/>
          <w:szCs w:val="20"/>
        </w:rPr>
        <w:t>Расчет выполняем до десятых.</w:t>
      </w:r>
    </w:p>
    <w:p w:rsidR="00024216" w:rsidRPr="00024216" w:rsidRDefault="00024216" w:rsidP="00024216">
      <w:pPr>
        <w:pStyle w:val="a8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hAnsi="Times New Roman"/>
          <w:sz w:val="20"/>
          <w:szCs w:val="20"/>
        </w:rPr>
      </w:pPr>
      <w:r w:rsidRPr="00024216">
        <w:rPr>
          <w:rFonts w:ascii="Times New Roman" w:hAnsi="Times New Roman"/>
          <w:sz w:val="20"/>
          <w:szCs w:val="20"/>
        </w:rPr>
        <w:t xml:space="preserve">Определение фракционного состава угля. Построение кривых </w:t>
      </w:r>
      <w:proofErr w:type="spellStart"/>
      <w:r w:rsidRPr="00024216">
        <w:rPr>
          <w:rFonts w:ascii="Times New Roman" w:hAnsi="Times New Roman"/>
          <w:sz w:val="20"/>
          <w:szCs w:val="20"/>
        </w:rPr>
        <w:t>обогатимости</w:t>
      </w:r>
      <w:proofErr w:type="spellEnd"/>
      <w:r w:rsidRPr="00024216">
        <w:rPr>
          <w:rFonts w:ascii="Times New Roman" w:hAnsi="Times New Roman"/>
          <w:sz w:val="20"/>
          <w:szCs w:val="20"/>
        </w:rPr>
        <w:t xml:space="preserve"> (β и θ).</w:t>
      </w:r>
    </w:p>
    <w:p w:rsidR="00024216" w:rsidRPr="00024216" w:rsidRDefault="00024216" w:rsidP="00024216">
      <w:pPr>
        <w:pStyle w:val="a8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024216">
        <w:rPr>
          <w:rFonts w:ascii="Times New Roman" w:hAnsi="Times New Roman"/>
          <w:sz w:val="20"/>
          <w:szCs w:val="20"/>
        </w:rPr>
        <w:t xml:space="preserve">Необходимо определить фракционный состав угля. Построить кривые </w:t>
      </w:r>
      <w:proofErr w:type="spellStart"/>
      <w:r w:rsidRPr="00024216">
        <w:rPr>
          <w:rFonts w:ascii="Times New Roman" w:hAnsi="Times New Roman"/>
          <w:sz w:val="20"/>
          <w:szCs w:val="20"/>
        </w:rPr>
        <w:t>обогатимости</w:t>
      </w:r>
      <w:proofErr w:type="spellEnd"/>
      <w:r w:rsidRPr="00024216">
        <w:rPr>
          <w:rFonts w:ascii="Times New Roman" w:hAnsi="Times New Roman"/>
          <w:sz w:val="20"/>
          <w:szCs w:val="20"/>
        </w:rPr>
        <w:t xml:space="preserve"> (β и θ). Расчётные значения занести в таблицу.</w:t>
      </w:r>
    </w:p>
    <w:p w:rsidR="00024216" w:rsidRPr="00024216" w:rsidRDefault="00024216" w:rsidP="00024216">
      <w:pPr>
        <w:spacing w:line="36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024216">
        <w:rPr>
          <w:color w:val="000000"/>
          <w:sz w:val="20"/>
          <w:szCs w:val="20"/>
        </w:rPr>
        <w:t xml:space="preserve">Таблица 2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630"/>
        <w:gridCol w:w="617"/>
        <w:gridCol w:w="820"/>
        <w:gridCol w:w="868"/>
        <w:gridCol w:w="922"/>
        <w:gridCol w:w="902"/>
        <w:gridCol w:w="946"/>
      </w:tblGrid>
      <w:tr w:rsidR="00024216" w:rsidRPr="00024216" w:rsidTr="005D4635">
        <w:trPr>
          <w:trHeight w:val="555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ρ,</w:t>
            </w:r>
            <w:proofErr w:type="gramStart"/>
            <w:r w:rsidRPr="00024216">
              <w:rPr>
                <w:color w:val="000000"/>
                <w:sz w:val="18"/>
                <w:szCs w:val="20"/>
              </w:rPr>
              <w:t>кг</w:t>
            </w:r>
            <w:proofErr w:type="gramEnd"/>
            <w:r w:rsidRPr="00024216">
              <w:rPr>
                <w:color w:val="000000"/>
                <w:sz w:val="18"/>
                <w:szCs w:val="20"/>
              </w:rPr>
              <w:t>/м </w:t>
            </w:r>
          </w:p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 </w:t>
            </w:r>
          </w:p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γ, </w:t>
            </w:r>
            <w:proofErr w:type="gramStart"/>
            <w:r w:rsidRPr="00024216">
              <w:rPr>
                <w:color w:val="000000"/>
                <w:sz w:val="18"/>
                <w:szCs w:val="20"/>
              </w:rPr>
              <w:t>кг</w:t>
            </w:r>
            <w:proofErr w:type="gramEnd"/>
            <w:r w:rsidRPr="0002421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γ , </w:t>
            </w:r>
            <w:r w:rsidRPr="00024216">
              <w:rPr>
                <w:color w:val="000000"/>
                <w:sz w:val="18"/>
                <w:szCs w:val="20"/>
                <w:lang w:val="en-US"/>
              </w:rPr>
              <w:t>%</w:t>
            </w:r>
            <w:r w:rsidRPr="0002421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  <w:lang w:val="en-US"/>
              </w:rPr>
              <w:t>A</w:t>
            </w:r>
            <w:r w:rsidRPr="00024216">
              <w:rPr>
                <w:color w:val="000000"/>
                <w:sz w:val="18"/>
                <w:szCs w:val="20"/>
                <w:vertAlign w:val="superscript"/>
                <w:lang w:val="en-US"/>
              </w:rPr>
              <w:t>d</w:t>
            </w:r>
            <w:r w:rsidRPr="00024216">
              <w:rPr>
                <w:color w:val="000000"/>
                <w:sz w:val="18"/>
                <w:szCs w:val="20"/>
                <w:lang w:val="en-US"/>
              </w:rPr>
              <w:t>,%</w:t>
            </w:r>
            <w:r w:rsidRPr="00024216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Суммарные всплывшие </w:t>
            </w:r>
          </w:p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фракции, % 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color w:val="000000"/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Суммарные потонувшие </w:t>
            </w:r>
          </w:p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фракции, % </w:t>
            </w:r>
          </w:p>
        </w:tc>
      </w:tr>
      <w:tr w:rsidR="00024216" w:rsidRPr="00024216" w:rsidTr="005D4635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γ , </w:t>
            </w:r>
            <w:r w:rsidRPr="00024216">
              <w:rPr>
                <w:sz w:val="18"/>
                <w:szCs w:val="20"/>
                <w:lang w:val="en-US"/>
              </w:rPr>
              <w:t>%</w:t>
            </w: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  <w:lang w:val="en-US"/>
              </w:rPr>
              <w:t>A</w:t>
            </w:r>
            <w:r w:rsidRPr="00024216">
              <w:rPr>
                <w:sz w:val="18"/>
                <w:szCs w:val="20"/>
                <w:vertAlign w:val="superscript"/>
                <w:lang w:val="en-US"/>
              </w:rPr>
              <w:t>d</w:t>
            </w:r>
            <w:r w:rsidRPr="00024216">
              <w:rPr>
                <w:sz w:val="18"/>
                <w:szCs w:val="20"/>
                <w:lang w:val="en-US"/>
              </w:rPr>
              <w:t>,%</w:t>
            </w: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γ , </w:t>
            </w:r>
            <w:r w:rsidRPr="00024216">
              <w:rPr>
                <w:sz w:val="18"/>
                <w:szCs w:val="20"/>
                <w:lang w:val="en-US"/>
              </w:rPr>
              <w:t>%</w:t>
            </w: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  <w:lang w:val="en-US"/>
              </w:rPr>
              <w:t>A</w:t>
            </w:r>
            <w:r w:rsidRPr="00024216">
              <w:rPr>
                <w:sz w:val="18"/>
                <w:szCs w:val="20"/>
                <w:vertAlign w:val="superscript"/>
                <w:lang w:val="en-US"/>
              </w:rPr>
              <w:t>d</w:t>
            </w:r>
            <w:r w:rsidRPr="00024216">
              <w:rPr>
                <w:sz w:val="18"/>
                <w:szCs w:val="20"/>
                <w:lang w:val="en-US"/>
              </w:rPr>
              <w:t>,%</w:t>
            </w: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1 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2 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4 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5 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6 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7 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8 </w:t>
            </w:r>
          </w:p>
        </w:tc>
      </w:tr>
      <w:tr w:rsidR="00024216" w:rsidRPr="00024216" w:rsidTr="005D4635">
        <w:trPr>
          <w:trHeight w:val="34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-1,3 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54,9 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3,51 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1,3-1,4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10,4 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10,3 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1,4-1,5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5,6 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22,0 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1,5-1,6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6,3 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31,2 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1,6-1,8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5,2 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46,7 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+1,8 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17,6 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84,7 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  <w:tr w:rsidR="00024216" w:rsidRPr="00024216" w:rsidTr="005D463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color w:val="000000"/>
                <w:sz w:val="18"/>
                <w:szCs w:val="20"/>
              </w:rPr>
              <w:t>Итого: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24216" w:rsidRPr="00024216" w:rsidRDefault="00024216" w:rsidP="005D4635">
            <w:pPr>
              <w:spacing w:line="360" w:lineRule="auto"/>
              <w:jc w:val="center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23,7 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24216" w:rsidRPr="00024216" w:rsidRDefault="00024216" w:rsidP="005D4635">
            <w:pPr>
              <w:spacing w:line="360" w:lineRule="auto"/>
              <w:textAlignment w:val="baseline"/>
              <w:rPr>
                <w:sz w:val="18"/>
                <w:szCs w:val="20"/>
              </w:rPr>
            </w:pPr>
            <w:r w:rsidRPr="00024216">
              <w:rPr>
                <w:sz w:val="18"/>
                <w:szCs w:val="20"/>
              </w:rPr>
              <w:t> </w:t>
            </w:r>
          </w:p>
        </w:tc>
      </w:tr>
    </w:tbl>
    <w:p w:rsidR="00024216" w:rsidRPr="00024216" w:rsidRDefault="00024216" w:rsidP="00024216">
      <w:pPr>
        <w:numPr>
          <w:ilvl w:val="0"/>
          <w:numId w:val="16"/>
        </w:numPr>
        <w:spacing w:before="240" w:line="360" w:lineRule="auto"/>
        <w:ind w:left="851" w:firstLine="283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lastRenderedPageBreak/>
        <w:t>В ячейки графы №3 записывается выход каждого класса крупности в процентах, рассчитанный по формуле: </w:t>
      </w:r>
    </w:p>
    <w:p w:rsidR="00024216" w:rsidRPr="00024216" w:rsidRDefault="00024216" w:rsidP="00024216">
      <w:pPr>
        <w:shd w:val="clear" w:color="auto" w:fill="FFFFFF"/>
        <w:spacing w:line="360" w:lineRule="auto"/>
        <w:ind w:left="851" w:firstLine="283"/>
        <w:jc w:val="center"/>
        <w:rPr>
          <w:rFonts w:ascii="Segoe UI" w:hAnsi="Segoe UI" w:cs="Segoe UI"/>
          <w:color w:val="000000"/>
          <w:sz w:val="20"/>
          <w:szCs w:val="20"/>
        </w:rPr>
      </w:pP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γ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кл</w:t>
      </w:r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.=</w:t>
      </w:r>
      <w:r w:rsidRPr="00024216">
        <w:rPr>
          <w:rFonts w:ascii="MathJax_Size1" w:hAnsi="MathJax_Size1" w:cs="Segoe UI"/>
          <w:color w:val="000000"/>
          <w:sz w:val="20"/>
          <w:szCs w:val="20"/>
          <w:bdr w:val="none" w:sz="0" w:space="0" w:color="auto" w:frame="1"/>
        </w:rPr>
        <w:t>(</w:t>
      </w:r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100×</w:t>
      </w: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Q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кл</w:t>
      </w:r>
      <w:proofErr w:type="gramStart"/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 </w:t>
      </w:r>
      <w:r w:rsidRPr="00024216">
        <w:rPr>
          <w:rFonts w:ascii="MathJax_Size1" w:hAnsi="MathJax_Size1" w:cs="Segoe UI"/>
          <w:color w:val="000000"/>
          <w:sz w:val="20"/>
          <w:szCs w:val="20"/>
          <w:bdr w:val="none" w:sz="0" w:space="0" w:color="auto" w:frame="1"/>
        </w:rPr>
        <w:t>)</w:t>
      </w:r>
      <w:proofErr w:type="gramEnd"/>
      <w:r w:rsidRPr="00024216">
        <w:rPr>
          <w:rFonts w:ascii="MathJax_Main" w:hAnsi="MathJax_Main" w:cs="Segoe UI"/>
          <w:color w:val="000000"/>
          <w:sz w:val="20"/>
          <w:szCs w:val="20"/>
          <w:bdr w:val="none" w:sz="0" w:space="0" w:color="auto" w:frame="1"/>
        </w:rPr>
        <w:t>/</w:t>
      </w:r>
      <w:r w:rsidRPr="00024216">
        <w:rPr>
          <w:rFonts w:ascii="MathJax_Math-italic" w:hAnsi="MathJax_Math-italic" w:cs="Segoe UI"/>
          <w:color w:val="000000"/>
          <w:sz w:val="20"/>
          <w:szCs w:val="20"/>
          <w:bdr w:val="none" w:sz="0" w:space="0" w:color="auto" w:frame="1"/>
        </w:rPr>
        <w:t>Q</w:t>
      </w:r>
      <w:r w:rsidRPr="00024216"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  <w:bdr w:val="none" w:sz="0" w:space="0" w:color="auto" w:frame="1"/>
        </w:rPr>
        <w:t>итог</w:t>
      </w:r>
      <w:r w:rsidRPr="00024216">
        <w:rPr>
          <w:rFonts w:ascii="Cambria Math" w:hAnsi="Cambria Math" w:cs="Cambria Math"/>
          <w:color w:val="000000"/>
          <w:sz w:val="20"/>
          <w:szCs w:val="20"/>
          <w:bdr w:val="none" w:sz="0" w:space="0" w:color="auto" w:frame="1"/>
        </w:rPr>
        <w:t>𝛾</w:t>
      </w:r>
      <w:r w:rsidRPr="00024216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кл.=(100×Qкл )/Qитог</w:t>
      </w:r>
    </w:p>
    <w:p w:rsidR="00024216" w:rsidRPr="00024216" w:rsidRDefault="00024216" w:rsidP="00024216">
      <w:pPr>
        <w:numPr>
          <w:ilvl w:val="0"/>
          <w:numId w:val="17"/>
        </w:numPr>
        <w:spacing w:line="360" w:lineRule="auto"/>
        <w:ind w:left="851" w:firstLine="283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Затем рассчитывается суммарный выход всплывших и потонувших фракций, и заполняются графы  №5, №7.  </w:t>
      </w:r>
    </w:p>
    <w:p w:rsidR="00024216" w:rsidRPr="00024216" w:rsidRDefault="00024216" w:rsidP="00024216">
      <w:pPr>
        <w:numPr>
          <w:ilvl w:val="0"/>
          <w:numId w:val="18"/>
        </w:numPr>
        <w:spacing w:line="360" w:lineRule="auto"/>
        <w:ind w:left="851" w:firstLine="283"/>
        <w:jc w:val="both"/>
        <w:textAlignment w:val="baseline"/>
        <w:rPr>
          <w:sz w:val="20"/>
          <w:szCs w:val="20"/>
        </w:rPr>
      </w:pPr>
      <w:r w:rsidRPr="00024216">
        <w:rPr>
          <w:sz w:val="20"/>
          <w:szCs w:val="20"/>
        </w:rPr>
        <w:t>Затем рассчитывается зольность  всплывших и потонувших фракций, и заполняются графы  №6, №8.  </w:t>
      </w:r>
    </w:p>
    <w:p w:rsidR="00024216" w:rsidRPr="00E25D3F" w:rsidRDefault="00024216" w:rsidP="00024216">
      <w:pPr>
        <w:numPr>
          <w:ilvl w:val="0"/>
          <w:numId w:val="19"/>
        </w:numPr>
        <w:spacing w:line="360" w:lineRule="auto"/>
        <w:ind w:left="851" w:firstLine="283"/>
        <w:jc w:val="both"/>
        <w:textAlignment w:val="baseline"/>
        <w:rPr>
          <w:sz w:val="28"/>
          <w:szCs w:val="28"/>
        </w:rPr>
      </w:pPr>
      <w:r w:rsidRPr="00024216">
        <w:rPr>
          <w:sz w:val="20"/>
          <w:szCs w:val="20"/>
        </w:rPr>
        <w:t>По данным значениям таблицы строятся </w:t>
      </w:r>
      <w:r w:rsidRPr="00024216">
        <w:rPr>
          <w:color w:val="000000"/>
          <w:sz w:val="20"/>
          <w:szCs w:val="20"/>
        </w:rPr>
        <w:t>кривые </w:t>
      </w:r>
      <w:proofErr w:type="spellStart"/>
      <w:r w:rsidRPr="00024216">
        <w:rPr>
          <w:color w:val="000000"/>
          <w:sz w:val="20"/>
          <w:szCs w:val="20"/>
        </w:rPr>
        <w:t>обогатимости</w:t>
      </w:r>
      <w:proofErr w:type="spellEnd"/>
      <w:r w:rsidRPr="00024216">
        <w:rPr>
          <w:color w:val="000000"/>
          <w:sz w:val="20"/>
          <w:szCs w:val="20"/>
        </w:rPr>
        <w:t> (β и θ).</w:t>
      </w:r>
      <w:r w:rsidRPr="00E25D3F">
        <w:rPr>
          <w:color w:val="000000"/>
          <w:sz w:val="28"/>
          <w:szCs w:val="28"/>
        </w:rPr>
        <w:t> </w:t>
      </w:r>
    </w:p>
    <w:p w:rsidR="00024216" w:rsidRDefault="00024216" w:rsidP="00024216">
      <w:pPr>
        <w:pStyle w:val="1"/>
        <w:shd w:val="clear" w:color="auto" w:fill="FFFFFF"/>
        <w:ind w:left="567"/>
        <w:jc w:val="both"/>
        <w:rPr>
          <w:color w:val="000000"/>
        </w:rPr>
      </w:pPr>
    </w:p>
    <w:p w:rsidR="00024216" w:rsidRDefault="00024216" w:rsidP="00024216">
      <w:pPr>
        <w:pStyle w:val="1"/>
        <w:shd w:val="clear" w:color="auto" w:fill="FFFFFF"/>
        <w:ind w:left="567"/>
        <w:jc w:val="both"/>
        <w:rPr>
          <w:color w:val="000000"/>
        </w:rPr>
      </w:pPr>
    </w:p>
    <w:p w:rsidR="00024216" w:rsidRPr="00024216" w:rsidRDefault="00024216" w:rsidP="00024216">
      <w:pPr>
        <w:pStyle w:val="1"/>
        <w:shd w:val="clear" w:color="auto" w:fill="FFFFFF"/>
        <w:ind w:left="567"/>
        <w:jc w:val="both"/>
        <w:rPr>
          <w:color w:val="00000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4A6CFC" w:rsidRDefault="004A6CFC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67DA6" w:rsidRDefault="00367DA6" w:rsidP="00C41E45">
      <w:pPr>
        <w:ind w:firstLine="567"/>
        <w:jc w:val="center"/>
        <w:rPr>
          <w:b/>
        </w:rPr>
      </w:pPr>
    </w:p>
    <w:p w:rsidR="00367DA6" w:rsidRDefault="00367DA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024216" w:rsidRDefault="00024216" w:rsidP="00C41E45">
      <w:pPr>
        <w:ind w:firstLine="567"/>
        <w:jc w:val="center"/>
        <w:rPr>
          <w:b/>
        </w:rPr>
      </w:pPr>
    </w:p>
    <w:p w:rsidR="005947C1" w:rsidRDefault="005947C1" w:rsidP="00C41E45">
      <w:pPr>
        <w:ind w:firstLine="567"/>
        <w:jc w:val="center"/>
      </w:pPr>
      <w:r>
        <w:rPr>
          <w:b/>
        </w:rPr>
        <w:lastRenderedPageBreak/>
        <w:t>Варианты контрольных работ</w:t>
      </w:r>
    </w:p>
    <w:p w:rsidR="005947C1" w:rsidRDefault="005947C1" w:rsidP="00C41E45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(определяется по последним двум цифрам шифра, см. таблицу).</w:t>
      </w:r>
    </w:p>
    <w:p w:rsidR="005947C1" w:rsidRDefault="005947C1" w:rsidP="00C41E45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275"/>
        <w:gridCol w:w="2025"/>
        <w:gridCol w:w="1275"/>
      </w:tblGrid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№ шифра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вариант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№ шифра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вариант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01; 21;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11; 31;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11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02; 22;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12; 32;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12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03; 23;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13; 33;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13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04; 24;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14; 34;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14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05; 25;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15; 35;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15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06; 26;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16; 36;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16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07; 27;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17; 37;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17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08; 28;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18; 38;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18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09; 29;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19; 39;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19</w:t>
            </w:r>
          </w:p>
        </w:tc>
      </w:tr>
      <w:tr w:rsidR="005947C1" w:rsidRPr="00ED723B">
        <w:trPr>
          <w:trHeight w:val="63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024216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 xml:space="preserve">10; 30;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024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20; </w:t>
            </w:r>
            <w:r w:rsidR="0002421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="0002421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024216">
              <w:rPr>
                <w:sz w:val="20"/>
                <w:szCs w:val="20"/>
              </w:rPr>
              <w:t xml:space="preserve"> 01; </w:t>
            </w:r>
            <w:proofErr w:type="spellStart"/>
            <w:r w:rsidR="00024216">
              <w:rPr>
                <w:sz w:val="20"/>
                <w:szCs w:val="20"/>
              </w:rPr>
              <w:t>Пр</w:t>
            </w:r>
            <w:proofErr w:type="spellEnd"/>
            <w:r w:rsidR="00024216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20</w:t>
            </w:r>
          </w:p>
        </w:tc>
      </w:tr>
    </w:tbl>
    <w:p w:rsidR="005947C1" w:rsidRDefault="005947C1" w:rsidP="00772765">
      <w:pPr>
        <w:jc w:val="both"/>
        <w:rPr>
          <w:color w:val="000000"/>
          <w:sz w:val="20"/>
          <w:szCs w:val="20"/>
        </w:rPr>
      </w:pPr>
    </w:p>
    <w:p w:rsidR="00367DA6" w:rsidRPr="00367DA6" w:rsidRDefault="00367DA6" w:rsidP="00367DA6">
      <w:pPr>
        <w:tabs>
          <w:tab w:val="left" w:pos="2807"/>
        </w:tabs>
      </w:pPr>
      <w:r w:rsidRPr="00367DA6">
        <w:t>Выбор задания</w:t>
      </w:r>
      <w:r>
        <w:t xml:space="preserve"> </w:t>
      </w:r>
      <w:r w:rsidRPr="00367DA6">
        <w:t>– вариант (это номер по списку в журнале), колонка справа – это номера заданий. В каждом задании будет по четыре вопроса-задачи.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14A7D" w:rsidRDefault="00C14A7D" w:rsidP="00367DA6">
      <w:pPr>
        <w:ind w:firstLine="567"/>
        <w:jc w:val="center"/>
        <w:rPr>
          <w:color w:val="000000"/>
          <w:szCs w:val="20"/>
        </w:rPr>
      </w:pPr>
    </w:p>
    <w:p w:rsidR="00C14A7D" w:rsidRDefault="00C14A7D" w:rsidP="00C14A7D">
      <w:pPr>
        <w:ind w:firstLine="567"/>
        <w:jc w:val="center"/>
      </w:pPr>
      <w:r>
        <w:br w:type="page"/>
      </w:r>
      <w:r>
        <w:lastRenderedPageBreak/>
        <w:t>СПИСОК ЛИТЕРАТУРЫ</w:t>
      </w:r>
    </w:p>
    <w:p w:rsidR="00024216" w:rsidRPr="001807E1" w:rsidRDefault="00024216" w:rsidP="00024216">
      <w:pPr>
        <w:ind w:firstLine="284"/>
        <w:rPr>
          <w:b/>
          <w:color w:val="000000"/>
          <w:sz w:val="20"/>
          <w:szCs w:val="28"/>
        </w:rPr>
      </w:pPr>
      <w:r w:rsidRPr="001807E1">
        <w:rPr>
          <w:b/>
          <w:color w:val="000000"/>
          <w:sz w:val="20"/>
          <w:szCs w:val="28"/>
        </w:rPr>
        <w:t>Основные источники: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proofErr w:type="spellStart"/>
      <w:r w:rsidRPr="001807E1">
        <w:rPr>
          <w:sz w:val="20"/>
          <w:szCs w:val="28"/>
        </w:rPr>
        <w:t>Авдохин</w:t>
      </w:r>
      <w:proofErr w:type="spellEnd"/>
      <w:r w:rsidRPr="001807E1">
        <w:rPr>
          <w:sz w:val="20"/>
          <w:szCs w:val="28"/>
        </w:rPr>
        <w:t xml:space="preserve">, В.М. Обогащение углей. В 2т. Т.1. Процессы и машины [Текст]: учебник для вузов / В.М. </w:t>
      </w:r>
      <w:proofErr w:type="spellStart"/>
      <w:r w:rsidRPr="001807E1">
        <w:rPr>
          <w:sz w:val="20"/>
          <w:szCs w:val="28"/>
        </w:rPr>
        <w:t>Авдохин</w:t>
      </w:r>
      <w:proofErr w:type="spellEnd"/>
      <w:r w:rsidRPr="001807E1">
        <w:rPr>
          <w:sz w:val="20"/>
          <w:szCs w:val="28"/>
        </w:rPr>
        <w:t>. – М.: Горная книга, 2012. – 424с.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proofErr w:type="spellStart"/>
      <w:r w:rsidRPr="001807E1">
        <w:rPr>
          <w:sz w:val="20"/>
          <w:szCs w:val="28"/>
        </w:rPr>
        <w:t>Авдохин</w:t>
      </w:r>
      <w:proofErr w:type="spellEnd"/>
      <w:r w:rsidRPr="001807E1">
        <w:rPr>
          <w:sz w:val="20"/>
          <w:szCs w:val="28"/>
        </w:rPr>
        <w:t xml:space="preserve">, В.М. Обогащение углей. В 2 т. Т.2. Технология [Текст]: учебник для вузов / В.М. </w:t>
      </w:r>
      <w:proofErr w:type="spellStart"/>
      <w:r w:rsidRPr="001807E1">
        <w:rPr>
          <w:sz w:val="20"/>
          <w:szCs w:val="28"/>
        </w:rPr>
        <w:t>Авдохин</w:t>
      </w:r>
      <w:proofErr w:type="spellEnd"/>
      <w:r w:rsidRPr="001807E1">
        <w:rPr>
          <w:sz w:val="20"/>
          <w:szCs w:val="28"/>
        </w:rPr>
        <w:t>. – М.: Горная книга, 2012. – 475с.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proofErr w:type="spellStart"/>
      <w:r w:rsidRPr="001807E1">
        <w:rPr>
          <w:color w:val="000000"/>
          <w:sz w:val="20"/>
          <w:szCs w:val="28"/>
        </w:rPr>
        <w:t>Авдохин</w:t>
      </w:r>
      <w:proofErr w:type="spellEnd"/>
      <w:r w:rsidRPr="001807E1">
        <w:rPr>
          <w:color w:val="000000"/>
          <w:sz w:val="20"/>
          <w:szCs w:val="28"/>
        </w:rPr>
        <w:t xml:space="preserve">, В. М. Основы обогащения полезных ископаемых В 2 т.Т. 1 Обогатительные процессы </w:t>
      </w:r>
      <w:r w:rsidRPr="001807E1">
        <w:rPr>
          <w:sz w:val="20"/>
          <w:szCs w:val="28"/>
        </w:rPr>
        <w:t xml:space="preserve">[Текст]: учебник для вузов  / В.М. </w:t>
      </w:r>
      <w:proofErr w:type="spellStart"/>
      <w:r w:rsidRPr="001807E1">
        <w:rPr>
          <w:sz w:val="20"/>
          <w:szCs w:val="28"/>
        </w:rPr>
        <w:t>Авдохин</w:t>
      </w:r>
      <w:proofErr w:type="spellEnd"/>
      <w:r w:rsidRPr="001807E1">
        <w:rPr>
          <w:sz w:val="20"/>
          <w:szCs w:val="28"/>
        </w:rPr>
        <w:t xml:space="preserve">. </w:t>
      </w:r>
      <w:r w:rsidRPr="001807E1">
        <w:rPr>
          <w:color w:val="000000"/>
          <w:sz w:val="20"/>
          <w:szCs w:val="28"/>
        </w:rPr>
        <w:t>- М.: МГГУ, 2006. - 542 с.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proofErr w:type="spellStart"/>
      <w:r w:rsidRPr="001807E1">
        <w:rPr>
          <w:color w:val="000000"/>
          <w:sz w:val="20"/>
          <w:szCs w:val="28"/>
        </w:rPr>
        <w:t>Авдохин</w:t>
      </w:r>
      <w:proofErr w:type="spellEnd"/>
      <w:r w:rsidRPr="001807E1">
        <w:rPr>
          <w:color w:val="000000"/>
          <w:sz w:val="20"/>
          <w:szCs w:val="28"/>
        </w:rPr>
        <w:t xml:space="preserve">, В. М. Основы обогащения полезных ископаемых В 2 т. Т.2 Технология обогащения полезных ископаемых </w:t>
      </w:r>
      <w:r w:rsidRPr="001807E1">
        <w:rPr>
          <w:sz w:val="20"/>
          <w:szCs w:val="28"/>
        </w:rPr>
        <w:t>[Текст]: учебник для вузов</w:t>
      </w:r>
      <w:r w:rsidRPr="001807E1">
        <w:rPr>
          <w:color w:val="000000"/>
          <w:sz w:val="20"/>
          <w:szCs w:val="28"/>
        </w:rPr>
        <w:t xml:space="preserve">/ В.М. </w:t>
      </w:r>
      <w:proofErr w:type="spellStart"/>
      <w:r w:rsidRPr="001807E1">
        <w:rPr>
          <w:color w:val="000000"/>
          <w:sz w:val="20"/>
          <w:szCs w:val="28"/>
        </w:rPr>
        <w:t>Авдохин</w:t>
      </w:r>
      <w:proofErr w:type="spellEnd"/>
      <w:r w:rsidRPr="001807E1">
        <w:rPr>
          <w:color w:val="000000"/>
          <w:sz w:val="20"/>
          <w:szCs w:val="28"/>
        </w:rPr>
        <w:t xml:space="preserve">. – М.: МГГУ, 2006.– 310 с.  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r w:rsidRPr="001807E1">
        <w:rPr>
          <w:color w:val="000000"/>
          <w:sz w:val="20"/>
          <w:szCs w:val="28"/>
        </w:rPr>
        <w:t>Антипенко, Л.А.Технологические регламенты обогатительных фабрик Кузнецкого бассейна</w:t>
      </w:r>
      <w:r w:rsidRPr="001807E1">
        <w:rPr>
          <w:sz w:val="20"/>
          <w:szCs w:val="28"/>
        </w:rPr>
        <w:t xml:space="preserve"> </w:t>
      </w:r>
      <w:r w:rsidRPr="001807E1">
        <w:rPr>
          <w:color w:val="000000"/>
          <w:sz w:val="20"/>
          <w:szCs w:val="28"/>
        </w:rPr>
        <w:t xml:space="preserve">[Текст]: учебник  / Л.А. Антипенко.-  2 е изд. </w:t>
      </w:r>
      <w:proofErr w:type="spellStart"/>
      <w:r w:rsidRPr="001807E1">
        <w:rPr>
          <w:color w:val="000000"/>
          <w:sz w:val="20"/>
          <w:szCs w:val="28"/>
        </w:rPr>
        <w:t>перераб</w:t>
      </w:r>
      <w:proofErr w:type="spellEnd"/>
      <w:r w:rsidRPr="001807E1">
        <w:rPr>
          <w:color w:val="000000"/>
          <w:sz w:val="20"/>
          <w:szCs w:val="28"/>
        </w:rPr>
        <w:t>.-  Прокопьевск. 2007.- 463с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r w:rsidRPr="001807E1">
        <w:rPr>
          <w:color w:val="000000"/>
          <w:sz w:val="20"/>
          <w:szCs w:val="28"/>
        </w:rPr>
        <w:t xml:space="preserve">Абрамов, А.А. Переработка, обогащение и комплексное использование твердых полезных ископаемых: в 3 т </w:t>
      </w:r>
      <w:proofErr w:type="spellStart"/>
      <w:r w:rsidRPr="001807E1">
        <w:rPr>
          <w:color w:val="000000"/>
          <w:sz w:val="20"/>
          <w:szCs w:val="28"/>
        </w:rPr>
        <w:t>Т</w:t>
      </w:r>
      <w:proofErr w:type="spellEnd"/>
      <w:r w:rsidRPr="001807E1">
        <w:rPr>
          <w:color w:val="000000"/>
          <w:sz w:val="20"/>
          <w:szCs w:val="28"/>
        </w:rPr>
        <w:t>. 1. Обогатительные процессы и аппараты [Текст</w:t>
      </w:r>
      <w:proofErr w:type="gramStart"/>
      <w:r w:rsidRPr="001807E1">
        <w:rPr>
          <w:color w:val="000000"/>
          <w:sz w:val="20"/>
          <w:szCs w:val="28"/>
        </w:rPr>
        <w:t xml:space="preserve"> ]</w:t>
      </w:r>
      <w:proofErr w:type="gramEnd"/>
      <w:r w:rsidRPr="001807E1">
        <w:rPr>
          <w:color w:val="000000"/>
          <w:sz w:val="20"/>
          <w:szCs w:val="28"/>
        </w:rPr>
        <w:t xml:space="preserve">: учебник для студентов вузов / А.А. Абрамов. - 2-е изд., стер. - М.: МГГУ, 2004. - 47с.: ил. </w:t>
      </w:r>
    </w:p>
    <w:p w:rsidR="00024216" w:rsidRPr="001807E1" w:rsidRDefault="00024216" w:rsidP="00024216">
      <w:pPr>
        <w:numPr>
          <w:ilvl w:val="0"/>
          <w:numId w:val="5"/>
        </w:numPr>
        <w:tabs>
          <w:tab w:val="clear" w:pos="720"/>
          <w:tab w:val="num" w:pos="360"/>
        </w:tabs>
        <w:ind w:left="0" w:firstLine="284"/>
        <w:jc w:val="both"/>
        <w:rPr>
          <w:sz w:val="20"/>
          <w:szCs w:val="28"/>
        </w:rPr>
      </w:pPr>
      <w:r w:rsidRPr="001807E1">
        <w:rPr>
          <w:color w:val="000000"/>
          <w:sz w:val="20"/>
          <w:szCs w:val="28"/>
        </w:rPr>
        <w:t xml:space="preserve">Абрамов, А.А. Переработка, обогащение и комплексное использование твердых полезных ископаемых: в 3 т </w:t>
      </w:r>
      <w:proofErr w:type="spellStart"/>
      <w:r w:rsidRPr="001807E1">
        <w:rPr>
          <w:color w:val="000000"/>
          <w:sz w:val="20"/>
          <w:szCs w:val="28"/>
        </w:rPr>
        <w:t>Т</w:t>
      </w:r>
      <w:proofErr w:type="spellEnd"/>
      <w:r w:rsidRPr="001807E1">
        <w:rPr>
          <w:color w:val="000000"/>
          <w:sz w:val="20"/>
          <w:szCs w:val="28"/>
        </w:rPr>
        <w:t>. 2 Технология обогащения полезных ископаемых [Текст</w:t>
      </w:r>
      <w:proofErr w:type="gramStart"/>
      <w:r w:rsidRPr="001807E1">
        <w:rPr>
          <w:color w:val="000000"/>
          <w:sz w:val="20"/>
          <w:szCs w:val="28"/>
        </w:rPr>
        <w:t xml:space="preserve"> ]</w:t>
      </w:r>
      <w:proofErr w:type="gramEnd"/>
      <w:r w:rsidRPr="001807E1">
        <w:rPr>
          <w:color w:val="000000"/>
          <w:sz w:val="20"/>
          <w:szCs w:val="28"/>
        </w:rPr>
        <w:t>: учебник для студентов вузов / А.А. Абрамов.- М.: МГГУ, 2004. - 531 с.</w:t>
      </w:r>
    </w:p>
    <w:p w:rsidR="00024216" w:rsidRPr="001807E1" w:rsidRDefault="00024216" w:rsidP="00024216">
      <w:pPr>
        <w:rPr>
          <w:b/>
          <w:color w:val="000000"/>
          <w:sz w:val="20"/>
          <w:szCs w:val="28"/>
        </w:rPr>
      </w:pPr>
    </w:p>
    <w:p w:rsidR="00024216" w:rsidRPr="001807E1" w:rsidRDefault="00024216" w:rsidP="00024216">
      <w:pPr>
        <w:ind w:firstLine="284"/>
        <w:rPr>
          <w:b/>
          <w:color w:val="000000"/>
          <w:sz w:val="20"/>
          <w:szCs w:val="28"/>
        </w:rPr>
      </w:pPr>
      <w:r w:rsidRPr="001807E1">
        <w:rPr>
          <w:b/>
          <w:color w:val="000000"/>
          <w:sz w:val="20"/>
          <w:szCs w:val="28"/>
        </w:rPr>
        <w:t>Дополнительные источники:</w:t>
      </w:r>
    </w:p>
    <w:p w:rsidR="00024216" w:rsidRPr="001807E1" w:rsidRDefault="00024216" w:rsidP="00024216">
      <w:pPr>
        <w:numPr>
          <w:ilvl w:val="0"/>
          <w:numId w:val="6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0"/>
          <w:szCs w:val="28"/>
        </w:rPr>
      </w:pPr>
      <w:proofErr w:type="spellStart"/>
      <w:r w:rsidRPr="001807E1">
        <w:rPr>
          <w:color w:val="000000"/>
          <w:sz w:val="20"/>
          <w:szCs w:val="28"/>
        </w:rPr>
        <w:t>Тузовская</w:t>
      </w:r>
      <w:proofErr w:type="spellEnd"/>
      <w:r w:rsidRPr="001807E1">
        <w:rPr>
          <w:color w:val="000000"/>
          <w:sz w:val="20"/>
          <w:szCs w:val="28"/>
        </w:rPr>
        <w:t xml:space="preserve">, Н.В. Технология обогащения углей [Текст ]: учебное пособие / Н.В. </w:t>
      </w:r>
      <w:proofErr w:type="spellStart"/>
      <w:r w:rsidRPr="001807E1">
        <w:rPr>
          <w:color w:val="000000"/>
          <w:sz w:val="20"/>
          <w:szCs w:val="28"/>
        </w:rPr>
        <w:t>Тузовская</w:t>
      </w:r>
      <w:proofErr w:type="spellEnd"/>
      <w:r w:rsidRPr="001807E1">
        <w:rPr>
          <w:color w:val="000000"/>
          <w:sz w:val="20"/>
          <w:szCs w:val="28"/>
        </w:rPr>
        <w:t xml:space="preserve">. </w:t>
      </w:r>
      <w:proofErr w:type="gramStart"/>
      <w:r w:rsidRPr="001807E1">
        <w:rPr>
          <w:color w:val="000000"/>
          <w:sz w:val="20"/>
          <w:szCs w:val="28"/>
        </w:rPr>
        <w:t>–К</w:t>
      </w:r>
      <w:proofErr w:type="gramEnd"/>
      <w:r w:rsidRPr="001807E1">
        <w:rPr>
          <w:color w:val="000000"/>
          <w:sz w:val="20"/>
          <w:szCs w:val="28"/>
        </w:rPr>
        <w:t>иселевск.2005.- 223с.</w:t>
      </w:r>
    </w:p>
    <w:p w:rsidR="00024216" w:rsidRPr="001807E1" w:rsidRDefault="00024216" w:rsidP="00024216">
      <w:pPr>
        <w:numPr>
          <w:ilvl w:val="0"/>
          <w:numId w:val="6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0"/>
          <w:szCs w:val="28"/>
        </w:rPr>
      </w:pPr>
      <w:r w:rsidRPr="001807E1">
        <w:rPr>
          <w:color w:val="000000"/>
          <w:sz w:val="20"/>
          <w:szCs w:val="28"/>
        </w:rPr>
        <w:t>Карамзин, В.В. Расчеты технологических показателей обогащения полезных ископаемых [Текст</w:t>
      </w:r>
      <w:proofErr w:type="gramStart"/>
      <w:r w:rsidRPr="001807E1">
        <w:rPr>
          <w:color w:val="000000"/>
          <w:sz w:val="20"/>
          <w:szCs w:val="28"/>
        </w:rPr>
        <w:t xml:space="preserve"> ]</w:t>
      </w:r>
      <w:proofErr w:type="gramEnd"/>
      <w:r w:rsidRPr="001807E1">
        <w:rPr>
          <w:color w:val="000000"/>
          <w:sz w:val="20"/>
          <w:szCs w:val="28"/>
        </w:rPr>
        <w:t>: учебник для студентов вузов /В.В. Карамзин, В.И. Карамзин.- М.: МГГУ,2006.-221с.</w:t>
      </w:r>
    </w:p>
    <w:p w:rsidR="00024216" w:rsidRPr="001807E1" w:rsidRDefault="00024216" w:rsidP="00024216">
      <w:pPr>
        <w:numPr>
          <w:ilvl w:val="0"/>
          <w:numId w:val="6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0"/>
          <w:szCs w:val="28"/>
        </w:rPr>
      </w:pPr>
      <w:r w:rsidRPr="001807E1">
        <w:rPr>
          <w:color w:val="000000"/>
          <w:sz w:val="20"/>
          <w:szCs w:val="28"/>
        </w:rPr>
        <w:t>Правила безопасности при  обогащении и брикетировании углей (сланцев) ПБ 05-580-03 Серия 05 вып.6 [Текст] - М.: Научно технический центр по безопасности в промышленности,2003.- 256с.</w:t>
      </w:r>
    </w:p>
    <w:p w:rsidR="00024216" w:rsidRPr="00024216" w:rsidRDefault="00024216" w:rsidP="00024216">
      <w:pPr>
        <w:ind w:firstLine="567"/>
        <w:rPr>
          <w:sz w:val="20"/>
        </w:rPr>
      </w:pPr>
    </w:p>
    <w:sectPr w:rsidR="00024216" w:rsidRPr="00024216" w:rsidSect="00C41E45">
      <w:pgSz w:w="8419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437"/>
    <w:multiLevelType w:val="hybridMultilevel"/>
    <w:tmpl w:val="80F6C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9F7"/>
    <w:multiLevelType w:val="multilevel"/>
    <w:tmpl w:val="CB286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766D"/>
    <w:multiLevelType w:val="multilevel"/>
    <w:tmpl w:val="2452B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648BC"/>
    <w:multiLevelType w:val="hybridMultilevel"/>
    <w:tmpl w:val="43C6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421E"/>
    <w:multiLevelType w:val="hybridMultilevel"/>
    <w:tmpl w:val="185C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17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C2948"/>
    <w:multiLevelType w:val="multilevel"/>
    <w:tmpl w:val="F1920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67775"/>
    <w:multiLevelType w:val="multilevel"/>
    <w:tmpl w:val="4E1CD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82524"/>
    <w:multiLevelType w:val="multilevel"/>
    <w:tmpl w:val="3574110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D13E2"/>
    <w:multiLevelType w:val="multilevel"/>
    <w:tmpl w:val="E178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56170"/>
    <w:multiLevelType w:val="multilevel"/>
    <w:tmpl w:val="A3A46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6050A1"/>
    <w:multiLevelType w:val="hybridMultilevel"/>
    <w:tmpl w:val="5EE87E0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462A89"/>
    <w:multiLevelType w:val="multilevel"/>
    <w:tmpl w:val="9CD4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518C9"/>
    <w:multiLevelType w:val="hybridMultilevel"/>
    <w:tmpl w:val="FE4096E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B47DE2"/>
    <w:multiLevelType w:val="hybridMultilevel"/>
    <w:tmpl w:val="ABF6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2974E5"/>
    <w:multiLevelType w:val="hybridMultilevel"/>
    <w:tmpl w:val="80665F12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89569B"/>
    <w:multiLevelType w:val="hybridMultilevel"/>
    <w:tmpl w:val="615677C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537C9D"/>
    <w:multiLevelType w:val="multilevel"/>
    <w:tmpl w:val="E9420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61E6C"/>
    <w:multiLevelType w:val="multilevel"/>
    <w:tmpl w:val="85EE9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0915D4"/>
    <w:multiLevelType w:val="multilevel"/>
    <w:tmpl w:val="2300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2"/>
  </w:num>
  <w:num w:numId="16">
    <w:abstractNumId w:val="18"/>
  </w:num>
  <w:num w:numId="17">
    <w:abstractNumId w:val="5"/>
  </w:num>
  <w:num w:numId="18">
    <w:abstractNumId w:val="16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bookFoldPrint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6D3"/>
    <w:rsid w:val="00006285"/>
    <w:rsid w:val="00024216"/>
    <w:rsid w:val="000368D3"/>
    <w:rsid w:val="0004412A"/>
    <w:rsid w:val="00050575"/>
    <w:rsid w:val="00083D4B"/>
    <w:rsid w:val="00093DFE"/>
    <w:rsid w:val="000B385F"/>
    <w:rsid w:val="000B48DA"/>
    <w:rsid w:val="000D2461"/>
    <w:rsid w:val="000D3876"/>
    <w:rsid w:val="000F1036"/>
    <w:rsid w:val="001056B4"/>
    <w:rsid w:val="00152150"/>
    <w:rsid w:val="001807E1"/>
    <w:rsid w:val="0018089F"/>
    <w:rsid w:val="001A5E14"/>
    <w:rsid w:val="001B6338"/>
    <w:rsid w:val="001B7D0C"/>
    <w:rsid w:val="001C45CF"/>
    <w:rsid w:val="001C639F"/>
    <w:rsid w:val="001E19D3"/>
    <w:rsid w:val="002050DB"/>
    <w:rsid w:val="00206D81"/>
    <w:rsid w:val="002172A5"/>
    <w:rsid w:val="00226805"/>
    <w:rsid w:val="002440EE"/>
    <w:rsid w:val="00297191"/>
    <w:rsid w:val="00297C51"/>
    <w:rsid w:val="002D3E86"/>
    <w:rsid w:val="00302BFF"/>
    <w:rsid w:val="00320567"/>
    <w:rsid w:val="0032381D"/>
    <w:rsid w:val="00336F05"/>
    <w:rsid w:val="00360163"/>
    <w:rsid w:val="00365D59"/>
    <w:rsid w:val="00367DA6"/>
    <w:rsid w:val="0038619E"/>
    <w:rsid w:val="003A02F2"/>
    <w:rsid w:val="003C3711"/>
    <w:rsid w:val="003D14A0"/>
    <w:rsid w:val="003F26D3"/>
    <w:rsid w:val="0047700D"/>
    <w:rsid w:val="00492A70"/>
    <w:rsid w:val="004A6CFC"/>
    <w:rsid w:val="004D0246"/>
    <w:rsid w:val="0051547B"/>
    <w:rsid w:val="005947C1"/>
    <w:rsid w:val="0059585E"/>
    <w:rsid w:val="005C59AD"/>
    <w:rsid w:val="005E480B"/>
    <w:rsid w:val="005E7E5D"/>
    <w:rsid w:val="005F31E1"/>
    <w:rsid w:val="00622041"/>
    <w:rsid w:val="00635370"/>
    <w:rsid w:val="00664477"/>
    <w:rsid w:val="00672334"/>
    <w:rsid w:val="006A5AE2"/>
    <w:rsid w:val="006B3ACC"/>
    <w:rsid w:val="006C1D15"/>
    <w:rsid w:val="006D28E8"/>
    <w:rsid w:val="006D605E"/>
    <w:rsid w:val="00750656"/>
    <w:rsid w:val="00757C1C"/>
    <w:rsid w:val="0076428F"/>
    <w:rsid w:val="00772765"/>
    <w:rsid w:val="00783D54"/>
    <w:rsid w:val="0079126C"/>
    <w:rsid w:val="0079743C"/>
    <w:rsid w:val="007B6C39"/>
    <w:rsid w:val="007D4038"/>
    <w:rsid w:val="007D5048"/>
    <w:rsid w:val="008229A5"/>
    <w:rsid w:val="00832F40"/>
    <w:rsid w:val="00850132"/>
    <w:rsid w:val="008676EB"/>
    <w:rsid w:val="00871732"/>
    <w:rsid w:val="008D0BBA"/>
    <w:rsid w:val="00907004"/>
    <w:rsid w:val="00911362"/>
    <w:rsid w:val="00925341"/>
    <w:rsid w:val="00944241"/>
    <w:rsid w:val="00953374"/>
    <w:rsid w:val="009551DC"/>
    <w:rsid w:val="00964C45"/>
    <w:rsid w:val="00971F32"/>
    <w:rsid w:val="00986457"/>
    <w:rsid w:val="009A42EF"/>
    <w:rsid w:val="009D498C"/>
    <w:rsid w:val="009E49E6"/>
    <w:rsid w:val="009F73B5"/>
    <w:rsid w:val="00A2657B"/>
    <w:rsid w:val="00A27122"/>
    <w:rsid w:val="00A33D55"/>
    <w:rsid w:val="00A56E2D"/>
    <w:rsid w:val="00A609B4"/>
    <w:rsid w:val="00A669B0"/>
    <w:rsid w:val="00A7113E"/>
    <w:rsid w:val="00AC3DC2"/>
    <w:rsid w:val="00AD2E7F"/>
    <w:rsid w:val="00B16DBA"/>
    <w:rsid w:val="00B23546"/>
    <w:rsid w:val="00B832B6"/>
    <w:rsid w:val="00B92B39"/>
    <w:rsid w:val="00C14A7D"/>
    <w:rsid w:val="00C2273A"/>
    <w:rsid w:val="00C23132"/>
    <w:rsid w:val="00C231AC"/>
    <w:rsid w:val="00C41E45"/>
    <w:rsid w:val="00C61131"/>
    <w:rsid w:val="00C61BF5"/>
    <w:rsid w:val="00C874B5"/>
    <w:rsid w:val="00CA45A9"/>
    <w:rsid w:val="00CC681D"/>
    <w:rsid w:val="00D03ECA"/>
    <w:rsid w:val="00DA5DE7"/>
    <w:rsid w:val="00DB6378"/>
    <w:rsid w:val="00DD2E18"/>
    <w:rsid w:val="00E01D27"/>
    <w:rsid w:val="00E761D4"/>
    <w:rsid w:val="00E76B9B"/>
    <w:rsid w:val="00EC4CB1"/>
    <w:rsid w:val="00ED723B"/>
    <w:rsid w:val="00EF12C5"/>
    <w:rsid w:val="00F170B6"/>
    <w:rsid w:val="00F23096"/>
    <w:rsid w:val="00F504E9"/>
    <w:rsid w:val="00F6023D"/>
    <w:rsid w:val="00F83AF3"/>
    <w:rsid w:val="00FC548F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E48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E480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B2354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23546"/>
    <w:rPr>
      <w:b/>
      <w:bCs/>
    </w:rPr>
  </w:style>
  <w:style w:type="character" w:styleId="a7">
    <w:name w:val="Hyperlink"/>
    <w:uiPriority w:val="99"/>
    <w:unhideWhenUsed/>
    <w:rsid w:val="00B235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3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qFormat/>
    <w:rsid w:val="00367DA6"/>
    <w:rPr>
      <w:i/>
      <w:iCs/>
    </w:rPr>
  </w:style>
  <w:style w:type="paragraph" w:styleId="aa">
    <w:name w:val="header"/>
    <w:basedOn w:val="a"/>
    <w:link w:val="ab"/>
    <w:uiPriority w:val="99"/>
    <w:unhideWhenUsed/>
    <w:rsid w:val="00367D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67DA6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67D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367DA6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B6C39"/>
    <w:pPr>
      <w:widowControl w:val="0"/>
    </w:pPr>
    <w:rPr>
      <w:snapToGrid w:val="0"/>
    </w:rPr>
  </w:style>
  <w:style w:type="character" w:customStyle="1" w:styleId="2">
    <w:name w:val="Основной текст (2)_"/>
    <w:link w:val="20"/>
    <w:rsid w:val="002050D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0DB"/>
    <w:pPr>
      <w:widowControl w:val="0"/>
      <w:shd w:val="clear" w:color="auto" w:fill="FFFFFF"/>
      <w:spacing w:line="0" w:lineRule="atLeast"/>
      <w:ind w:hanging="540"/>
    </w:pPr>
    <w:rPr>
      <w:sz w:val="20"/>
      <w:szCs w:val="20"/>
    </w:rPr>
  </w:style>
  <w:style w:type="character" w:customStyle="1" w:styleId="5">
    <w:name w:val="Заголовок №5_"/>
    <w:link w:val="50"/>
    <w:rsid w:val="002050DB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2050DB"/>
    <w:pPr>
      <w:widowControl w:val="0"/>
      <w:shd w:val="clear" w:color="auto" w:fill="FFFFFF"/>
      <w:spacing w:before="420" w:after="300" w:line="0" w:lineRule="atLeast"/>
      <w:jc w:val="center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13">
    <w:name w:val="Основной текст (13)_"/>
    <w:link w:val="130"/>
    <w:rsid w:val="002050DB"/>
    <w:rPr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050DB"/>
    <w:pPr>
      <w:widowControl w:val="0"/>
      <w:shd w:val="clear" w:color="auto" w:fill="FFFFFF"/>
      <w:spacing w:before="60" w:line="230" w:lineRule="exact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F1E7-DCD5-4773-A094-13FD9BB1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Typography</cp:lastModifiedBy>
  <cp:revision>7</cp:revision>
  <cp:lastPrinted>2012-12-10T09:20:00Z</cp:lastPrinted>
  <dcterms:created xsi:type="dcterms:W3CDTF">2024-09-30T12:03:00Z</dcterms:created>
  <dcterms:modified xsi:type="dcterms:W3CDTF">2024-10-02T00:58:00Z</dcterms:modified>
</cp:coreProperties>
</file>