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03" w:rsidRPr="00D75303" w:rsidRDefault="00D75303" w:rsidP="00D7530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к Контрольной работе  </w:t>
      </w:r>
    </w:p>
    <w:p w:rsidR="00D75303" w:rsidRPr="00D75303" w:rsidRDefault="00D75303" w:rsidP="00D7530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b/>
          <w:sz w:val="24"/>
          <w:szCs w:val="24"/>
        </w:rPr>
        <w:t>Группа ОПИ-23з</w:t>
      </w:r>
    </w:p>
    <w:p w:rsidR="00D75303" w:rsidRPr="00D75303" w:rsidRDefault="00D75303" w:rsidP="00D7530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5303">
        <w:rPr>
          <w:rFonts w:ascii="Times New Roman" w:hAnsi="Times New Roman" w:cs="Times New Roman"/>
          <w:b/>
          <w:sz w:val="24"/>
          <w:szCs w:val="24"/>
        </w:rPr>
        <w:t>МДК 01.01 «21.02.18 Основы обогащения и переработки полезных ископаемых »</w:t>
      </w:r>
    </w:p>
    <w:p w:rsidR="00D75303" w:rsidRPr="00D75303" w:rsidRDefault="00D75303" w:rsidP="00D753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6613555"/>
      <w:r w:rsidRPr="00D75303">
        <w:rPr>
          <w:rFonts w:ascii="Times New Roman" w:eastAsia="Times New Roman" w:hAnsi="Times New Roman" w:cs="Times New Roman"/>
          <w:b/>
          <w:sz w:val="24"/>
          <w:szCs w:val="24"/>
        </w:rPr>
        <w:t xml:space="preserve"> (2 ВОПРОСА по </w:t>
      </w:r>
      <w:r w:rsidR="002531AE">
        <w:rPr>
          <w:rFonts w:ascii="Times New Roman" w:eastAsia="Times New Roman" w:hAnsi="Times New Roman" w:cs="Times New Roman"/>
          <w:b/>
          <w:sz w:val="24"/>
          <w:szCs w:val="24"/>
        </w:rPr>
        <w:t>последним двум цифрам шифра</w:t>
      </w:r>
      <w:r w:rsidRPr="00D7530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bookmarkEnd w:id="0"/>
    <w:p w:rsidR="00D75303" w:rsidRPr="00D75303" w:rsidRDefault="00D75303" w:rsidP="00D753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b/>
          <w:sz w:val="24"/>
          <w:szCs w:val="24"/>
        </w:rPr>
        <w:t>3 семестр</w:t>
      </w:r>
      <w:r w:rsidRPr="00D75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827"/>
      </w:tblGrid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 журнале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12,17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2,10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15,9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bookmarkStart w:id="1" w:name="_GoBack"/>
        <w:bookmarkEnd w:id="1"/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27,11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5,24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13,30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6,14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34,20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19,36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25,40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18,38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22,35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16,33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48,29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31,43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46,32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56,23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77,64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65,49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28,50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42,58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26,52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45,54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69,41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75,44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67,51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76,68</w:t>
            </w:r>
          </w:p>
        </w:tc>
      </w:tr>
    </w:tbl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1.Виды ископаемых углей.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2.Состав ископаемых углей.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3.Основные аналитические показатели угля.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4.СРС Анализ основных аналитических показателей углей.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5.Физические и физико-химические свойства углей.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6.СРС Анализ физических и физико-химических свойств угля.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7.Классификация и маркировка углей.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8.Практическая работа№1 «Получение машинных классов».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9.Слабоструктурные бурые угли.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10.Практическая работа№2«Составление и расчет шихты рядовых углей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11.Требования к качеству углей.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12.СРС Анализ показателей и требований к качеству угля.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13.Технологические операции при обогащении углей.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14.Обогатительные фабрики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15.СРС Сообщения на тему: «Концентрат», «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Помпродукт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» и «Отходы»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16.Технологические операции обогащения углей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17.Общие сведения об обогащении углей.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18.Основная технологическая терминология.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19.Углеобогатительные фабрики.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20.Понятие о технологических схемах обогащения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21.СРС Анализ технологических схем современных обогатительных фабрик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22.Продукты обогащения и их характеристика.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23.Показатели качества угля.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24.Практическая работа№3 «Расчет показателей качества углей».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25.Углеприем и подготовка угля к обогащению.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26.Общие сведения об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углеприеме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27.Практическаяработа№4 «Расчет 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угле-приемного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отделения»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28.Общие сведения подготовки угля к обогащению.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29.Вагоно-опрокидыватели. Конструкция и виды.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30.Практическая работа№5 «Составление технологической схемы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углеприема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31.Доставка угля на фабрику.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32.Удаление из угля посторонних предметов.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33.Аккумулирование рядовых углей в бункерах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34.СРС Анализ сортировки и аккумулирования углей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35.Виды и классификация бункеров.</w:t>
      </w:r>
      <w:r w:rsidRPr="00D75303">
        <w:rPr>
          <w:rFonts w:ascii="Times New Roman" w:hAnsi="Times New Roman" w:cs="Times New Roman"/>
          <w:sz w:val="24"/>
          <w:szCs w:val="24"/>
        </w:rPr>
        <w:t xml:space="preserve"> </w:t>
      </w: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Двухрядный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восьмиячейковый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дозировочно-аккумулирующий бункер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36.Практическая работа№6 «Расчет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двухядерного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дозировочно-аккумулирующего бункера».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37.Двухрядный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восьмиячейковый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дозировочный бункер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38.Практическаяработа№7 «Расчет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двухядерного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дозировачного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бункера».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39.Двухрядный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восьмиячейковый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аккумулирующий бункер.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40.Практическаяработа№8 «Расчет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двухядерного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дозировачного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бункера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41.Сортировка  руд.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42.СРС Сообщение на тему «Сорта руд»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43.Подготовительные операции.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44.Классификация подготовительных операций.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45.Аппараты для ручной сортировки. 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46.СРС Сообщение на тему «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Конструкии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аппаратов ручной   сортировки»»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47.Аппараты для оптической сортировки.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48.СРС Сообщение на тему «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Конструкии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аппаратов оптической сортировки»»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49.Аппараты для радиоактивной сортировки.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50.СРС Сообщение на тему «Конструкции аппаратов радиоактивной сортировки»»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51.Типы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железоотделителей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52.Практическая работа №9 «Составление и расчет шихты рядовых углей для класса 13-150мм»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53.Электромагнитный шкив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54.Практическая работа№10 «Схема установки электромагнитного шкива».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55.Электромагнитный барабан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56.Практическая работа №11 «Составление и расчет шихты рядовых углей для класса 0,5-13мм»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57.Электромагнитный подвесной сепаратор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58.Практическая работа №12 «Схема установки электромагнитного барабана».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59.Саморазгружающийся подвесной электромагнитный сепаратор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60.Практическая работа №13 «Составление и расчет шихты рядовых углей для класса 0-0,5мм».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61.Грохочение углей и руд.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62.Основы процесса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грохочения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63.Гранулометрический состав углей и руд.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64.Ситовый анализ углей.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65.Практическая работа №14 «Расчет ситового анализа углей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66.Назначение и виды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грохочения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67.Практическая работа №15 «Схема процесса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грохочения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68.Порядок выделения классов при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грохочении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5303">
        <w:rPr>
          <w:rFonts w:ascii="Times New Roman" w:hAnsi="Times New Roman" w:cs="Times New Roman"/>
          <w:sz w:val="24"/>
          <w:szCs w:val="24"/>
        </w:rPr>
        <w:t xml:space="preserve"> </w:t>
      </w:r>
      <w:r w:rsidRPr="00D75303">
        <w:rPr>
          <w:rFonts w:ascii="Times New Roman" w:eastAsia="Times New Roman" w:hAnsi="Times New Roman" w:cs="Times New Roman"/>
          <w:sz w:val="24"/>
          <w:szCs w:val="24"/>
        </w:rPr>
        <w:t>Практическая работа №16 «Последовательность выделения сортов угля на грохотах»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69.Назначение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грохочения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в технологической схеме обогащения.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70.Грохочение подготовительное.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71.Практическая работа №17 «Расчет 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подготовительного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грохочения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72.Предварительное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грохочение</w:t>
      </w:r>
      <w:proofErr w:type="spell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73.Практическая работа №18 «Расчет 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подготовительного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грохочения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74.Контрольное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грохочение</w:t>
      </w:r>
      <w:proofErr w:type="spell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75.СРС Анализ применения подготовительного, предварительного и подготовительного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грохочения</w:t>
      </w:r>
      <w:proofErr w:type="spell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76.Решета и сита.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77.Практическая работа №19 «Расчет площади живого сечения листовых сит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78.Форма сечения колосников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79.Практическая работа№20 «Расчет площади живого сечения колосниковых сит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4 семестр</w:t>
      </w:r>
    </w:p>
    <w:p w:rsidR="00D75303" w:rsidRPr="00D75303" w:rsidRDefault="00D75303" w:rsidP="00D753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b/>
          <w:sz w:val="24"/>
          <w:szCs w:val="24"/>
        </w:rPr>
        <w:t xml:space="preserve">(2 ВОПРОСА по </w:t>
      </w:r>
      <w:r w:rsidR="002531AE">
        <w:rPr>
          <w:rFonts w:ascii="Times New Roman" w:eastAsia="Times New Roman" w:hAnsi="Times New Roman" w:cs="Times New Roman"/>
          <w:b/>
          <w:sz w:val="24"/>
          <w:szCs w:val="24"/>
        </w:rPr>
        <w:t>последним двум цифрам шифра</w:t>
      </w:r>
      <w:r w:rsidRPr="00D7530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827"/>
      </w:tblGrid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 журнале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83,100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103,82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89,112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94,132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85,116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97,108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79,104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101,118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86,91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125,140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81,84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123,156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90,114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98,135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87,110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88,121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96,117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125,146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80,148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119,134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95,115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150,152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102,113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99,143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137,145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93,111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106,129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138,149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107,130</w:t>
            </w:r>
          </w:p>
        </w:tc>
      </w:tr>
      <w:tr w:rsidR="00D75303" w:rsidRPr="00D75303" w:rsidTr="00D753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3" w:rsidRPr="00D75303" w:rsidRDefault="00D75303" w:rsidP="008F2F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3" w:rsidRPr="00D75303" w:rsidRDefault="00D75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144,153</w:t>
            </w:r>
          </w:p>
        </w:tc>
      </w:tr>
    </w:tbl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79.Основные факторы, влияющие на процесс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грохочения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80.Обозначение и классификация грохотов.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81.Неподвижные грохоты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82.СРС Сообщение на тему «Конструкция неподвижного грохота»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83.Самобалансные грохота.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84.Практическая работа №21 «Изучение конструкции грохотов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85.Грохота типа ГЦЛ. Назначение, конструкция, принцип действия.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86.Практическая работа №22 «Расчет производительности грохота ГЦЛ»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87.Грохота типа ГИСЛ. Назначение, конструкция, принцип действия.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88.Практическая работа №23 «Расчет грохота ГИСЛ-32»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89.Грохота типа ГК. 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90.Практическая работа №24 «Расчет грохота ГК»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91.Дуговые грохоты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92.СРС Сообщение на тему «Конструкция дугового грохота»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93.Конические грохоты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94.СРС Сообщение на тему «Конструкция конического грохота»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95.Эксплуатация грохотов. 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96.Возможные неполадки в работе грохотов.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97.Техника безопасности при обслуживании грохотов.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98.Организация рабочего места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грохотовщика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99.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Вибрационные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грохота. 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100.СРС Анализ грохотов применяемых на обогатительной фабрике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101.Дробление углей и руд.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102.Основы процесса дробления.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103.Виды и стадии дробления.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104.СРС Анализ применения дробления на обогатительной фабрике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105.Обогатительные фабрики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Кузбосса</w:t>
      </w:r>
      <w:proofErr w:type="spell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106.Предварительная классификация и дробление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107.Назначение и место операций дробления в технологической схеме обогащения.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108.СРС Анализ принципиальных схем дробления обогатительных фабрик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109.Законы, степень и стадии дробления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110.Классификация дробилок.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111.Дробилки щековые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>онструкция, принцип действия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112.Практическая работа №25 «Расчет щековых дробилок»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113.Дробилки валковые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>онструкция, принцип действия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114.Практическая работа №26 «Расчет валковых дробилок»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115.Дробилки молотковые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>онструкция, принцип действия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116.Практическая работа №27 «Расчет молотковых дробилок».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117.Дробилки барабанные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>онструкция, принцип действия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118.Практическая работа №28 «Расчет барабанных дробилок»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119.Роторные дробилки. Назначение, конструкция, принцип действия.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120.Практическая работа №29 «Расчет роторных дробилок»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121.Эксплуатация машин для дробления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122.Организация рабочего места.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123.Возможные неполадки в работе дробилок, их  причины и способы устранения.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124.Гидравлическая классификация и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обесшламливание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125.Основы гидравлической классификации.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126.СРС Анализ применения классификации на обогатительной фабрике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127.Гидравлические классификаторы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128.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влияющие на работу  гидроциклонов.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129.СРС Анализ применения гидроциклонов на обогатительной фабрике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130.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gram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влияющие на работу  классификаторов.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131.Элеваторный классификатор. Конструкция и применение.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132.Центробежный классификатор. Конструкция и применение.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133.Отстойный скребковый классификатор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134.Пирамидальные классификаторы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135.СРС Сообщение на тему «Конструкция пирамидального классификатора»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136.Конические классификаторы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137.СРС Сообщение на тему «Конструкция конического классификатора»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138.Эксплуатация классификаторов. Организация рабочего места.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139.Эксплуатация  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гидроклассификаторов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140.СРС Анализ применения классификаторов и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гидроклассификаторв</w:t>
      </w:r>
      <w:proofErr w:type="spell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141.Обесшламливание. Назначение и  характеристика.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142.Оборудование для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обесшламливания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143.СРС Сообщение на тему «Конструкция оборудования для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обесшламливания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144.Фракционный анализ и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обогатимость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углей.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145.Сущность метода фракционного анализа.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146.Практическая работа №30 « Проведение фракционного анализа».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147.Тяжелые жидкости.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148.СРС Сообщения на тему «Утяжелители»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149.Методика проведения фракционного анализа.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150.СРС Анализ применения фракционного анализа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151.Меры безопасности при проведении фракционного анализа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152.Обогатимость углей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>153.Теоретический баланс продуктов обогащения.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154.Плотность разделения. 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155.Кривые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обогатимости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156.Практическая работа №31 «Расчет </w:t>
      </w:r>
      <w:proofErr w:type="spellStart"/>
      <w:r w:rsidRPr="00D75303">
        <w:rPr>
          <w:rFonts w:ascii="Times New Roman" w:eastAsia="Times New Roman" w:hAnsi="Times New Roman" w:cs="Times New Roman"/>
          <w:sz w:val="24"/>
          <w:szCs w:val="24"/>
        </w:rPr>
        <w:t>обогатимости</w:t>
      </w:r>
      <w:proofErr w:type="spellEnd"/>
      <w:r w:rsidRPr="00D75303">
        <w:rPr>
          <w:rFonts w:ascii="Times New Roman" w:eastAsia="Times New Roman" w:hAnsi="Times New Roman" w:cs="Times New Roman"/>
          <w:sz w:val="24"/>
          <w:szCs w:val="24"/>
        </w:rPr>
        <w:t xml:space="preserve"> углей при заданной плотности разделения</w:t>
      </w:r>
      <w:proofErr w:type="gramStart"/>
      <w:r w:rsidRPr="00D7530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D75303" w:rsidRPr="00D75303" w:rsidRDefault="00D75303" w:rsidP="00D75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303" w:rsidRPr="00D75303" w:rsidRDefault="00D75303" w:rsidP="00D753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303">
        <w:rPr>
          <w:rFonts w:ascii="Times New Roman" w:hAnsi="Times New Roman" w:cs="Times New Roman"/>
          <w:sz w:val="24"/>
          <w:szCs w:val="24"/>
        </w:rPr>
        <w:t>Составить конспект</w:t>
      </w:r>
    </w:p>
    <w:p w:rsidR="00D75303" w:rsidRPr="00D75303" w:rsidRDefault="00D75303" w:rsidP="00D7530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5303">
        <w:rPr>
          <w:rFonts w:ascii="Times New Roman" w:hAnsi="Times New Roman" w:cs="Times New Roman"/>
          <w:sz w:val="24"/>
          <w:szCs w:val="24"/>
        </w:rPr>
        <w:t>Сделать практическую работу</w:t>
      </w:r>
    </w:p>
    <w:p w:rsidR="00D75303" w:rsidRPr="00D75303" w:rsidRDefault="00D75303" w:rsidP="00D753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303" w:rsidRPr="00D75303" w:rsidRDefault="00D75303" w:rsidP="00D753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303" w:rsidRPr="00D75303" w:rsidRDefault="00D75303" w:rsidP="00D753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303" w:rsidRPr="00D75303" w:rsidRDefault="00D75303" w:rsidP="00D753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5303">
        <w:rPr>
          <w:rFonts w:ascii="Times New Roman" w:hAnsi="Times New Roman" w:cs="Times New Roman"/>
          <w:sz w:val="24"/>
          <w:szCs w:val="24"/>
        </w:rPr>
        <w:t>Литература:</w:t>
      </w:r>
    </w:p>
    <w:p w:rsidR="00D75303" w:rsidRPr="00D75303" w:rsidRDefault="00D75303" w:rsidP="00D7530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5303" w:rsidRPr="00D75303" w:rsidRDefault="00D75303" w:rsidP="00D75303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75303">
        <w:rPr>
          <w:rFonts w:ascii="Times New Roman" w:hAnsi="Times New Roman" w:cs="Times New Roman"/>
          <w:bCs/>
          <w:sz w:val="24"/>
          <w:szCs w:val="24"/>
        </w:rPr>
        <w:t>Руденко К.Г. «Основы обогащения и брикетирования углей» [Текст]</w:t>
      </w:r>
      <w:proofErr w:type="gramStart"/>
      <w:r w:rsidRPr="00D7530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75303">
        <w:rPr>
          <w:rFonts w:ascii="Times New Roman" w:hAnsi="Times New Roman" w:cs="Times New Roman"/>
          <w:bCs/>
          <w:sz w:val="24"/>
          <w:szCs w:val="24"/>
        </w:rPr>
        <w:t>2016 Москва 304 с.</w:t>
      </w:r>
    </w:p>
    <w:p w:rsidR="00D75303" w:rsidRPr="00D75303" w:rsidRDefault="00D75303" w:rsidP="00D75303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75303">
        <w:rPr>
          <w:rFonts w:ascii="Times New Roman" w:hAnsi="Times New Roman" w:cs="Times New Roman"/>
          <w:bCs/>
          <w:sz w:val="24"/>
          <w:szCs w:val="24"/>
        </w:rPr>
        <w:t xml:space="preserve">Артюшин, С.П. Обогащение углей: </w:t>
      </w:r>
      <w:proofErr w:type="spellStart"/>
      <w:r w:rsidRPr="00D75303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Pr="00D75303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Pr="00D75303">
        <w:rPr>
          <w:rFonts w:ascii="Times New Roman" w:hAnsi="Times New Roman" w:cs="Times New Roman"/>
          <w:bCs/>
          <w:sz w:val="24"/>
          <w:szCs w:val="24"/>
        </w:rPr>
        <w:t>ля</w:t>
      </w:r>
      <w:proofErr w:type="spellEnd"/>
      <w:r w:rsidRPr="00D75303">
        <w:rPr>
          <w:rFonts w:ascii="Times New Roman" w:hAnsi="Times New Roman" w:cs="Times New Roman"/>
          <w:bCs/>
          <w:sz w:val="24"/>
          <w:szCs w:val="24"/>
        </w:rPr>
        <w:t xml:space="preserve"> горных техникумов.- М.: Москва, 2015.-384с.</w:t>
      </w:r>
    </w:p>
    <w:p w:rsidR="00D75303" w:rsidRPr="00D75303" w:rsidRDefault="00D75303" w:rsidP="00D75303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5303">
        <w:rPr>
          <w:rFonts w:ascii="Times New Roman" w:hAnsi="Times New Roman" w:cs="Times New Roman"/>
          <w:bCs/>
          <w:sz w:val="24"/>
          <w:szCs w:val="24"/>
        </w:rPr>
        <w:t>Тузовская</w:t>
      </w:r>
      <w:proofErr w:type="spellEnd"/>
      <w:r w:rsidRPr="00D75303">
        <w:rPr>
          <w:rFonts w:ascii="Times New Roman" w:hAnsi="Times New Roman" w:cs="Times New Roman"/>
          <w:bCs/>
          <w:sz w:val="24"/>
          <w:szCs w:val="24"/>
        </w:rPr>
        <w:t>, Н.В.  Технология обогащения углей</w:t>
      </w:r>
      <w:proofErr w:type="gramStart"/>
      <w:r w:rsidRPr="00D7530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75303">
        <w:rPr>
          <w:rFonts w:ascii="Times New Roman" w:hAnsi="Times New Roman" w:cs="Times New Roman"/>
          <w:bCs/>
          <w:sz w:val="24"/>
          <w:szCs w:val="24"/>
        </w:rPr>
        <w:t xml:space="preserve"> учебное пособие.</w:t>
      </w:r>
      <w:r w:rsidRPr="00D75303">
        <w:rPr>
          <w:rFonts w:ascii="Times New Roman" w:hAnsi="Times New Roman" w:cs="Times New Roman"/>
          <w:bCs/>
          <w:sz w:val="24"/>
          <w:szCs w:val="24"/>
        </w:rPr>
        <w:tab/>
      </w:r>
      <w:r w:rsidRPr="00D75303">
        <w:rPr>
          <w:rFonts w:ascii="Times New Roman" w:hAnsi="Times New Roman" w:cs="Times New Roman"/>
          <w:bCs/>
          <w:sz w:val="24"/>
          <w:szCs w:val="24"/>
        </w:rPr>
        <w:tab/>
        <w:t>Киселевск, 2017</w:t>
      </w:r>
    </w:p>
    <w:p w:rsidR="00D75303" w:rsidRPr="00D75303" w:rsidRDefault="00D75303" w:rsidP="00D75303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5303">
        <w:rPr>
          <w:rFonts w:ascii="Times New Roman" w:hAnsi="Times New Roman" w:cs="Times New Roman"/>
          <w:bCs/>
          <w:sz w:val="24"/>
          <w:szCs w:val="24"/>
        </w:rPr>
        <w:t>Бедрань</w:t>
      </w:r>
      <w:proofErr w:type="spellEnd"/>
      <w:r w:rsidRPr="00D75303">
        <w:rPr>
          <w:rFonts w:ascii="Times New Roman" w:hAnsi="Times New Roman" w:cs="Times New Roman"/>
          <w:bCs/>
          <w:sz w:val="24"/>
          <w:szCs w:val="24"/>
        </w:rPr>
        <w:t xml:space="preserve"> Н.Г. Обогащение углей. М., Издательство МГГУ, 2017 – 224с.</w:t>
      </w:r>
    </w:p>
    <w:p w:rsidR="00D75303" w:rsidRPr="00D75303" w:rsidRDefault="00D75303" w:rsidP="00D75303">
      <w:pPr>
        <w:pStyle w:val="a3"/>
        <w:ind w:left="700"/>
        <w:rPr>
          <w:rFonts w:ascii="Times New Roman" w:hAnsi="Times New Roman" w:cs="Times New Roman"/>
          <w:bCs/>
          <w:sz w:val="24"/>
          <w:szCs w:val="24"/>
        </w:rPr>
      </w:pPr>
      <w:r w:rsidRPr="00D75303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D75303" w:rsidRPr="00D75303" w:rsidRDefault="00D75303" w:rsidP="00D75303">
      <w:pPr>
        <w:pStyle w:val="a3"/>
        <w:ind w:left="700"/>
        <w:rPr>
          <w:rFonts w:ascii="Times New Roman" w:hAnsi="Times New Roman" w:cs="Times New Roman"/>
          <w:bCs/>
          <w:sz w:val="24"/>
          <w:szCs w:val="24"/>
        </w:rPr>
      </w:pPr>
      <w:r w:rsidRPr="00D75303">
        <w:rPr>
          <w:rFonts w:ascii="Times New Roman" w:hAnsi="Times New Roman" w:cs="Times New Roman"/>
          <w:bCs/>
          <w:sz w:val="24"/>
          <w:szCs w:val="24"/>
        </w:rPr>
        <w:t>1.</w:t>
      </w:r>
      <w:r w:rsidRPr="00D75303">
        <w:rPr>
          <w:rFonts w:ascii="Times New Roman" w:hAnsi="Times New Roman" w:cs="Times New Roman"/>
          <w:bCs/>
          <w:sz w:val="24"/>
          <w:szCs w:val="24"/>
        </w:rPr>
        <w:tab/>
        <w:t>Интернет-ресурсы по «Технологии обогащения полезных ископаемых».</w:t>
      </w:r>
    </w:p>
    <w:p w:rsidR="00D75303" w:rsidRPr="00D75303" w:rsidRDefault="00D75303" w:rsidP="00D75303">
      <w:pPr>
        <w:pStyle w:val="a3"/>
        <w:ind w:left="700"/>
        <w:rPr>
          <w:rFonts w:ascii="Times New Roman" w:hAnsi="Times New Roman" w:cs="Times New Roman"/>
          <w:bCs/>
          <w:sz w:val="24"/>
          <w:szCs w:val="24"/>
        </w:rPr>
      </w:pPr>
      <w:r w:rsidRPr="00D75303">
        <w:rPr>
          <w:rFonts w:ascii="Times New Roman" w:hAnsi="Times New Roman" w:cs="Times New Roman"/>
          <w:bCs/>
          <w:sz w:val="24"/>
          <w:szCs w:val="24"/>
        </w:rPr>
        <w:t>2.</w:t>
      </w:r>
      <w:r w:rsidRPr="00D75303">
        <w:rPr>
          <w:rFonts w:ascii="Times New Roman" w:hAnsi="Times New Roman" w:cs="Times New Roman"/>
          <w:bCs/>
          <w:sz w:val="24"/>
          <w:szCs w:val="24"/>
        </w:rPr>
        <w:tab/>
        <w:t>Интернет ресурсы по «</w:t>
      </w:r>
      <w:proofErr w:type="spellStart"/>
      <w:r w:rsidRPr="00D75303">
        <w:rPr>
          <w:rFonts w:ascii="Times New Roman" w:hAnsi="Times New Roman" w:cs="Times New Roman"/>
          <w:bCs/>
          <w:sz w:val="24"/>
          <w:szCs w:val="24"/>
        </w:rPr>
        <w:t>Электороборудованию</w:t>
      </w:r>
      <w:proofErr w:type="spellEnd"/>
      <w:r w:rsidRPr="00D75303">
        <w:rPr>
          <w:rFonts w:ascii="Times New Roman" w:hAnsi="Times New Roman" w:cs="Times New Roman"/>
          <w:bCs/>
          <w:sz w:val="24"/>
          <w:szCs w:val="24"/>
        </w:rPr>
        <w:t xml:space="preserve"> обогатительных фабрик».</w:t>
      </w:r>
    </w:p>
    <w:p w:rsidR="00D75303" w:rsidRPr="00D75303" w:rsidRDefault="00D75303" w:rsidP="00D75303">
      <w:pPr>
        <w:pStyle w:val="a3"/>
        <w:ind w:left="700"/>
        <w:rPr>
          <w:rFonts w:ascii="Times New Roman" w:hAnsi="Times New Roman" w:cs="Times New Roman"/>
          <w:bCs/>
          <w:sz w:val="24"/>
          <w:szCs w:val="24"/>
        </w:rPr>
      </w:pPr>
    </w:p>
    <w:p w:rsidR="00D75303" w:rsidRPr="00D75303" w:rsidRDefault="00D75303" w:rsidP="00D75303">
      <w:pPr>
        <w:pStyle w:val="a3"/>
        <w:ind w:left="700"/>
        <w:rPr>
          <w:rFonts w:ascii="Times New Roman" w:hAnsi="Times New Roman" w:cs="Times New Roman"/>
          <w:bCs/>
          <w:sz w:val="24"/>
          <w:szCs w:val="24"/>
        </w:rPr>
      </w:pPr>
    </w:p>
    <w:p w:rsidR="00D75303" w:rsidRPr="00D75303" w:rsidRDefault="00D75303" w:rsidP="00D75303">
      <w:pPr>
        <w:pStyle w:val="a3"/>
        <w:ind w:left="7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5303">
        <w:rPr>
          <w:rFonts w:ascii="Times New Roman" w:hAnsi="Times New Roman" w:cs="Times New Roman"/>
          <w:bCs/>
          <w:sz w:val="24"/>
          <w:szCs w:val="24"/>
        </w:rPr>
        <w:t>Истегешева</w:t>
      </w:r>
      <w:proofErr w:type="spellEnd"/>
      <w:r w:rsidRPr="00D75303">
        <w:rPr>
          <w:rFonts w:ascii="Times New Roman" w:hAnsi="Times New Roman" w:cs="Times New Roman"/>
          <w:bCs/>
          <w:sz w:val="24"/>
          <w:szCs w:val="24"/>
        </w:rPr>
        <w:t xml:space="preserve"> З.В.</w:t>
      </w:r>
    </w:p>
    <w:p w:rsidR="00ED292F" w:rsidRDefault="00ED292F"/>
    <w:sectPr w:rsidR="00ED292F" w:rsidSect="00ED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DFF"/>
    <w:multiLevelType w:val="hybridMultilevel"/>
    <w:tmpl w:val="EFF88500"/>
    <w:lvl w:ilvl="0" w:tplc="359E4088">
      <w:start w:val="64"/>
      <w:numFmt w:val="bullet"/>
      <w:lvlText w:val=""/>
      <w:lvlJc w:val="left"/>
      <w:pPr>
        <w:ind w:left="70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163F5"/>
    <w:multiLevelType w:val="hybridMultilevel"/>
    <w:tmpl w:val="0FE4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85E93"/>
    <w:multiLevelType w:val="hybridMultilevel"/>
    <w:tmpl w:val="0FE4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B6613"/>
    <w:multiLevelType w:val="hybridMultilevel"/>
    <w:tmpl w:val="A528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03"/>
    <w:rsid w:val="002531AE"/>
    <w:rsid w:val="00555A37"/>
    <w:rsid w:val="00AE3276"/>
    <w:rsid w:val="00D75303"/>
    <w:rsid w:val="00ED292F"/>
    <w:rsid w:val="00F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03"/>
    <w:pPr>
      <w:ind w:left="720"/>
      <w:contextualSpacing/>
    </w:pPr>
  </w:style>
  <w:style w:type="table" w:styleId="a4">
    <w:name w:val="Table Grid"/>
    <w:basedOn w:val="a1"/>
    <w:uiPriority w:val="59"/>
    <w:rsid w:val="00D7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03"/>
    <w:pPr>
      <w:ind w:left="720"/>
      <w:contextualSpacing/>
    </w:pPr>
  </w:style>
  <w:style w:type="table" w:styleId="a4">
    <w:name w:val="Table Grid"/>
    <w:basedOn w:val="a1"/>
    <w:uiPriority w:val="59"/>
    <w:rsid w:val="00D7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Typography</cp:lastModifiedBy>
  <cp:revision>3</cp:revision>
  <dcterms:created xsi:type="dcterms:W3CDTF">2024-09-24T16:34:00Z</dcterms:created>
  <dcterms:modified xsi:type="dcterms:W3CDTF">2024-09-25T01:56:00Z</dcterms:modified>
</cp:coreProperties>
</file>